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23, 2026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NRX PHARMACEUTICALS,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001-38302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82-2844431</w:t>
            </w:r>
          </w:p>
        </w:tc>
      </w:tr>
      <w:tr>
        <w:trPr>
          <w:trHeight w:val="191"/>
        </w:trPr>
        <w:tc>
          <w:tcPr>
            <w:tcW w:w="3220" w:type="dxa"/>
            <w:vAlign w:val="bottom"/>
            <w:tcBorders>
              <w:top w:val="single" w:sz="8" w:color="auto"/>
            </w:tcBorders>
          </w:tcPr>
          <w:p>
            <w:pPr>
              <w:jc w:val="center"/>
              <w:ind w:left="8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jc w:val="center"/>
              <w:ind w:right="99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22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8"/>
              </w:rPr>
              <w:t>File Number)</w:t>
            </w:r>
          </w:p>
        </w:tc>
        <w:tc>
          <w:tcPr>
            <w:tcW w:w="30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1201 Orange Street, Suite 600</w:t>
            </w:r>
          </w:p>
        </w:tc>
        <w:tc>
          <w:tcPr>
            <w:tcW w:w="3060" w:type="dxa"/>
            <w:vAlign w:val="bottom"/>
          </w:tcPr>
          <w:p>
            <w:pPr>
              <w:spacing w:after="0"/>
              <w:rPr>
                <w:sz w:val="24"/>
                <w:szCs w:val="24"/>
                <w:color w:val="auto"/>
              </w:rPr>
            </w:pPr>
          </w:p>
        </w:tc>
      </w:tr>
      <w:tr>
        <w:trPr>
          <w:trHeight w:val="238"/>
        </w:trPr>
        <w:tc>
          <w:tcPr>
            <w:tcW w:w="3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Wilmington, Delaware 19801</w:t>
            </w:r>
          </w:p>
        </w:tc>
        <w:tc>
          <w:tcPr>
            <w:tcW w:w="3060" w:type="dxa"/>
            <w:vAlign w:val="bottom"/>
            <w:tcBorders>
              <w:bottom w:val="single" w:sz="8" w:color="auto"/>
            </w:tcBorders>
          </w:tcPr>
          <w:p>
            <w:pPr>
              <w:spacing w:after="0"/>
              <w:rPr>
                <w:sz w:val="20"/>
                <w:szCs w:val="20"/>
                <w:color w:val="auto"/>
              </w:rPr>
            </w:pPr>
          </w:p>
        </w:tc>
      </w:tr>
      <w:tr>
        <w:trPr>
          <w:trHeight w:val="228"/>
        </w:trPr>
        <w:tc>
          <w:tcPr>
            <w:tcW w:w="3220" w:type="dxa"/>
            <w:vAlign w:val="bottom"/>
          </w:tcPr>
          <w:p>
            <w:pPr>
              <w:spacing w:after="0"/>
              <w:rPr>
                <w:sz w:val="19"/>
                <w:szCs w:val="19"/>
                <w:color w:val="auto"/>
              </w:rPr>
            </w:pPr>
          </w:p>
        </w:tc>
        <w:tc>
          <w:tcPr>
            <w:tcW w:w="49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60" w:type="dxa"/>
            <w:vAlign w:val="bottom"/>
          </w:tcPr>
          <w:p>
            <w:pPr>
              <w:spacing w:after="0"/>
              <w:rPr>
                <w:sz w:val="19"/>
                <w:szCs w:val="19"/>
                <w:color w:val="auto"/>
              </w:rPr>
            </w:pPr>
          </w:p>
        </w:tc>
      </w:tr>
      <w:tr>
        <w:trPr>
          <w:trHeight w:val="395"/>
        </w:trPr>
        <w:tc>
          <w:tcPr>
            <w:tcW w:w="3220" w:type="dxa"/>
            <w:vAlign w:val="bottom"/>
          </w:tcPr>
          <w:p>
            <w:pPr>
              <w:spacing w:after="0"/>
              <w:rPr>
                <w:sz w:val="24"/>
                <w:szCs w:val="24"/>
                <w:color w:val="auto"/>
              </w:rPr>
            </w:pPr>
          </w:p>
        </w:tc>
        <w:tc>
          <w:tcPr>
            <w:tcW w:w="376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(484) 254-6134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4"/>
        </w:trPr>
        <w:tc>
          <w:tcPr>
            <w:tcW w:w="3220" w:type="dxa"/>
            <w:vAlign w:val="bottom"/>
          </w:tcPr>
          <w:p>
            <w:pPr>
              <w:spacing w:after="0"/>
              <w:rPr>
                <w:sz w:val="20"/>
                <w:szCs w:val="20"/>
                <w:color w:val="auto"/>
              </w:rPr>
            </w:pPr>
          </w:p>
        </w:tc>
        <w:tc>
          <w:tcPr>
            <w:tcW w:w="49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60" w:type="dxa"/>
            <w:vAlign w:val="bottom"/>
          </w:tcPr>
          <w:p>
            <w:pPr>
              <w:spacing w:after="0"/>
              <w:rPr>
                <w:sz w:val="20"/>
                <w:szCs w:val="20"/>
                <w:color w:val="auto"/>
              </w:rPr>
            </w:pPr>
          </w:p>
        </w:tc>
      </w:tr>
      <w:tr>
        <w:trPr>
          <w:trHeight w:val="414"/>
        </w:trPr>
        <w:tc>
          <w:tcPr>
            <w:tcW w:w="3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N/A</w:t>
            </w:r>
          </w:p>
        </w:tc>
        <w:tc>
          <w:tcPr>
            <w:tcW w:w="3060" w:type="dxa"/>
            <w:vAlign w:val="bottom"/>
          </w:tcPr>
          <w:p>
            <w:pPr>
              <w:spacing w:after="0"/>
              <w:rPr>
                <w:sz w:val="24"/>
                <w:szCs w:val="24"/>
                <w:color w:val="auto"/>
              </w:rPr>
            </w:pPr>
          </w:p>
        </w:tc>
      </w:tr>
      <w:tr>
        <w:trPr>
          <w:trHeight w:val="234"/>
        </w:trPr>
        <w:tc>
          <w:tcPr>
            <w:tcW w:w="3220" w:type="dxa"/>
            <w:vAlign w:val="bottom"/>
          </w:tcPr>
          <w:p>
            <w:pPr>
              <w:spacing w:after="0"/>
              <w:rPr>
                <w:sz w:val="20"/>
                <w:szCs w:val="20"/>
                <w:color w:val="auto"/>
              </w:rPr>
            </w:pPr>
          </w:p>
        </w:tc>
        <w:tc>
          <w:tcPr>
            <w:tcW w:w="49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0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NRXP</w:t>
            </w:r>
          </w:p>
        </w:tc>
        <w:tc>
          <w:tcPr>
            <w:tcW w:w="10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NRXPW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March 23, 2026, NRx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i w:val="1"/>
          <w:iCs w:val="1"/>
          <w:color w:val="auto"/>
        </w:rPr>
        <w:t>2025 Annual Meeting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140" w:right="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At the 2025 Annual Meeting, the Company’s stockholders approved the Amendment No:1 to the Omnibus Incentive Plan (the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to increase the annual “evergreen” share reserve under the Omnibus Incentive Plan.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Amendment No. 1 increased the annual automatic share increase from the lesser of (a) 1% of the total number of shares outstanding on the last day of the immediately preceding fiscal year, on a fully diluted basis assuming that all shares available for issuance under the Omnibus Incentive Plan are issued and outstanding, or (b) such number of shares as determined by the board of directors, to the lesser of (a) 3,187,234 shares of common stock, (b) 5% of the total number of shares outstanding on the last day of the immediately preceding fiscal year, on a fully diluted basis assuming that all shares available for issuance under the Omnibus Incentive Plan are issued and outstanding, or (c) such number of shares as determined by the board of directors.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approved the Amendment No. 1 subject to the approval of the stockholders at the 2025 Annual Meeting. The Amendment No. 1 became effective at the time of stockholder approval. A copy of the Amendment No. 1 is attached to this Current Report on Form 8-K as Exhibit 10.1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voted upon at the 2025 Annual Meeting and the results of the voting by the Company’s stockholders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Election of Class I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Chaim Hurvitz and Michael Taylor as Class I directors to serve until the 2028 annual meeting of stockholders and until such director’s successor has been duly elected and qualified. Set forth below are the results of the stockholder vote for each director nominee: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Chaim Hurvitz</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9,858,733</w:t>
            </w:r>
          </w:p>
        </w:tc>
        <w:tc>
          <w:tcPr>
            <w:tcW w:w="2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841,471</w:t>
            </w:r>
          </w:p>
        </w:tc>
        <w:tc>
          <w:tcPr>
            <w:tcW w:w="2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7,157,034</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Michael Taylor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9,889,210</w:t>
            </w: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810,994</w:t>
            </w: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7,157,034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an amendment to the NRx Pharmaceuticals, Inc. 2021 Omnibus Incentive Plan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Omnibus Incentive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amendment to the Omnibus Incentive Plan. Set forth below are the results of the stockholder vote on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1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w:t>
            </w:r>
          </w:p>
        </w:tc>
        <w:tc>
          <w:tcPr>
            <w:tcW w:w="22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5,976,632</w:t>
            </w:r>
          </w:p>
        </w:tc>
        <w:tc>
          <w:tcPr>
            <w:tcW w:w="23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4,484,064</w:t>
            </w:r>
          </w:p>
        </w:tc>
        <w:tc>
          <w:tcPr>
            <w:tcW w:w="2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239,508</w:t>
            </w:r>
          </w:p>
        </w:tc>
        <w:tc>
          <w:tcPr>
            <w:tcW w:w="23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7,157,034</w:t>
            </w:r>
          </w:p>
        </w:tc>
      </w:tr>
      <w:tr>
        <w:trPr>
          <w:trHeight w:val="574"/>
        </w:trPr>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Ratification of Appointment of Auditors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Weinberg &amp; Company, P.A. as the Company’s independent registered public accounting firm for the fiscal year ending December 31, 2025. Set forth below are the results of the stockholder vote on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w:t>
            </w:r>
          </w:p>
        </w:tc>
        <w:tc>
          <w:tcPr>
            <w:tcW w:w="28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17,351,069</w:t>
            </w:r>
          </w:p>
        </w:tc>
        <w:tc>
          <w:tcPr>
            <w:tcW w:w="29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256,023</w:t>
            </w:r>
          </w:p>
        </w:tc>
        <w:tc>
          <w:tcPr>
            <w:tcW w:w="29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250,146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Named Executive Officers via a Non-Binding, Advisory Vote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by non-binding, advisory vote on the compensation of the named executive officers of the Company. Set forth below are the results of the stockholder vote on this proposal: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w:t>
            </w:r>
          </w:p>
        </w:tc>
        <w:tc>
          <w:tcPr>
            <w:tcW w:w="22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9,969,575</w:t>
            </w:r>
          </w:p>
        </w:tc>
        <w:tc>
          <w:tcPr>
            <w:tcW w:w="2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415,739</w:t>
            </w:r>
          </w:p>
        </w:tc>
        <w:tc>
          <w:tcPr>
            <w:tcW w:w="2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314,890</w:t>
            </w:r>
          </w:p>
        </w:tc>
        <w:tc>
          <w:tcPr>
            <w:tcW w:w="23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7,157,034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about each of the foregoing proposals, please review the Company’s definitive proxy statement, filed with the Securities and Exchange Commission on February 23,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Amendment No. 1 to the NRx Pharmaceuticals, Inc. 2021 Omnibus Incentive Plan</w:t>
            </w: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59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160" w:type="dxa"/>
            <w:vAlign w:val="bottom"/>
          </w:tcPr>
          <w:p>
            <w:pPr>
              <w:spacing w:after="0"/>
              <w:rPr>
                <w:sz w:val="20"/>
                <w:szCs w:val="20"/>
                <w:color w:val="auto"/>
              </w:rPr>
            </w:pPr>
          </w:p>
        </w:tc>
      </w:tr>
      <w:tr>
        <w:trPr>
          <w:trHeight w:val="57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3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NRX PHARMACEUTICALS,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19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Jonathan Javitt</w:t>
            </w:r>
          </w:p>
        </w:tc>
      </w:tr>
      <w:tr>
        <w:trPr>
          <w:trHeight w:val="191"/>
        </w:trPr>
        <w:tc>
          <w:tcPr>
            <w:tcW w:w="2980" w:type="dxa"/>
            <w:vAlign w:val="bottom"/>
          </w:tcPr>
          <w:p>
            <w:pPr>
              <w:spacing w:after="0"/>
              <w:rPr>
                <w:sz w:val="16"/>
                <w:szCs w:val="16"/>
                <w:color w:val="auto"/>
              </w:rPr>
            </w:pPr>
          </w:p>
        </w:tc>
        <w:tc>
          <w:tcPr>
            <w:tcW w:w="198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34"/>
        </w:trPr>
        <w:tc>
          <w:tcPr>
            <w:tcW w:w="2980" w:type="dxa"/>
            <w:vAlign w:val="bottom"/>
          </w:tcPr>
          <w:p>
            <w:pPr>
              <w:spacing w:after="0"/>
              <w:rPr>
                <w:sz w:val="20"/>
                <w:szCs w:val="20"/>
                <w:color w:val="auto"/>
              </w:rPr>
            </w:pPr>
          </w:p>
        </w:tc>
        <w:tc>
          <w:tcPr>
            <w:tcW w:w="19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576"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2021 OMNIBUS INCENTIVE PLAN</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NRx Pharmaceuticals, Inc. 2021 Omnibus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was adopted by the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NRx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on February 10, 2026.</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on March 23, 2026, at the 2025 annual general meeting of stockholders, the stockholders of the Company approved an amendment to the Plan to increase the annual automatic share increase from the lesser of (a) 1% of the total number of shares outstanding on the last day of the immediately preceding fiscal year, on a fully diluted basis assuming that all shares available for issuance under the Omnibus Incentive Plan are issued and outstanding, or (b) such number of shares as determined by the board of directors, to the lesser of (a) 3,187,234 shares of common stock, (b) 5% of the total number of shares outstanding on the last day of the immediately preceding fiscal year, on a fully diluted basis assuming that all shares available for issuance under the Omnibus Incentive Plan are issued and outstanding, or (c) such number of shares as determined by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5(b) of the Plan is hereby deleted and replaced in its entirety with the following: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 Available Shares. Subject to Section 11 of the Plan and subsection (e) below, the maximum number of Shares available for issuance under the Plan shall not exceed 5,373,049, plus the number of Shares set forth in the next sentence (the “</w:t>
      </w:r>
      <w:r>
        <w:rPr>
          <w:rFonts w:ascii="Times New Roman" w:cs="Times New Roman" w:eastAsia="Times New Roman" w:hAnsi="Times New Roman"/>
          <w:sz w:val="18"/>
          <w:szCs w:val="18"/>
          <w:i w:val="1"/>
          <w:iCs w:val="1"/>
          <w:color w:val="auto"/>
        </w:rPr>
        <w:t>Share Pool</w:t>
      </w:r>
      <w:r>
        <w:rPr>
          <w:rFonts w:ascii="Times New Roman" w:cs="Times New Roman" w:eastAsia="Times New Roman" w:hAnsi="Times New Roman"/>
          <w:sz w:val="18"/>
          <w:szCs w:val="18"/>
          <w:color w:val="auto"/>
        </w:rPr>
        <w:t>”) on a fully diluted basis assuming that all shares available for issuance under the Plan are issued and outstanding. The Share Pool will automatically increase each fiscal year following the Effective Date beginning with fiscal year 2022 and ending with fiscal year 2031 by the lesser of (a) 3,187,234 shares of common stock, (b) 5% of the total number of shares outstanding on the last day of the immediately preceding fiscal year, on a fully diluted basis assuming that all shares available for issuance under the Omnibus Incentive Plan are issued and outstanding, or (c) such number of shares as determined by the Board. The increase shall occur on the first day of each such fiscal year or another day selected by the Board during such fiscal year. As of the Plan’s Effective Date, the Company will cease granting awards under the Prior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set forth in this Amendment, all other terms and conditions of the Plan shall remain in full force and effect.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2026-03-24T15:37:35Z</dcterms:created>
  <dcterms:modified xsi:type="dcterms:W3CDTF">2026-03-24T15:37:35Z</dcterms:modified>
</cp:coreProperties>
</file>