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nrxp20260601_424b5.htm"/>
      <w:bookmarkStart w:id="1" w:name="ksnrxp20260601_424b5"/>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color w:val="FF0000"/>
          <w:sz w:val="20"/>
        </w:rPr>
        <w:t>The information in this preliminary prospectus supplement is not complete and may be changed. A registration statement related to these securities has been declared effective by the Securities and Exchange Commission. This preliminary prospectus supplement and the accompanying prospectus are not an offer to sell these securities and are not the solicitation of an offer to buy these securities in any jurisdiction where the offer or sale is not permitted.</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color w:val="FF0000"/>
          <w:sz w:val="20"/>
        </w:rPr>
      </w:pPr>
      <w:r>
        <w:rPr>
          <w:rFonts w:ascii="Times New Roman" w:hAnsi="Times New Roman"/>
          <w:b/>
          <w:caps w:val="false"/>
          <w:smallCaps w:val="false"/>
          <w:color w:val="FF0000"/>
          <w:sz w:val="20"/>
        </w:rPr>
        <w:t>SUBJECT TO COMPLETION, DATED JUNE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Filed pursuant to Rule</w:t>
      </w:r>
      <w:r>
        <w:rPr>
          <w:rFonts w:ascii="Times New Roman" w:hAnsi="Times New Roman"/>
          <w:caps w:val="false"/>
          <w:smallCaps w:val="false"/>
          <w:sz w:val="20"/>
        </w:rPr>
        <w:t xml:space="preserve"> </w:t>
      </w:r>
      <w:r>
        <w:rPr>
          <w:rFonts w:ascii="Times New Roman" w:hAnsi="Times New Roman"/>
          <w:b/>
          <w:caps w:val="false"/>
          <w:smallCaps w:val="false"/>
          <w:sz w:val="20"/>
        </w:rPr>
        <w:t>424(b)(5)</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Registration No.</w:t>
      </w:r>
      <w:r>
        <w:rPr>
          <w:rFonts w:ascii="Times New Roman" w:hAnsi="Times New Roman"/>
          <w:caps w:val="false"/>
          <w:smallCaps w:val="false"/>
          <w:sz w:val="20"/>
        </w:rPr>
        <w:t xml:space="preserve"> </w:t>
      </w:r>
      <w:r>
        <w:rPr>
          <w:rFonts w:ascii="Times New Roman" w:hAnsi="Times New Roman"/>
          <w:b/>
          <w:caps w:val="false"/>
          <w:smallCaps w:val="false"/>
          <w:sz w:val="20"/>
        </w:rPr>
        <w:t>333-288205</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Preliminary Prospectus Supplement</w:t>
      </w:r>
      <w:r>
        <w:rPr>
          <w:rFonts w:ascii="Times New Roman" w:hAnsi="Times New Roman"/>
          <w:caps w:val="false"/>
          <w:smallCaps w:val="false"/>
          <w:sz w:val="20"/>
        </w:rPr>
        <w:br/>
      </w:r>
      <w:r>
        <w:rPr>
          <w:rFonts w:ascii="Times New Roman" w:hAnsi="Times New Roman"/>
          <w:b/>
          <w:caps w:val="false"/>
          <w:smallCaps w:val="false"/>
          <w:sz w:val="20"/>
        </w:rPr>
        <w:t>(to Prospectus dated December 22,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6572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7225" cy="581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 of Common Stock</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NRx Pharmaceuticals, Inc. (“</w:t>
      </w:r>
      <w:r>
        <w:rPr>
          <w:rFonts w:ascii="Times New Roman" w:hAnsi="Times New Roman"/>
          <w:i/>
          <w:caps w:val="false"/>
          <w:smallCaps w:val="false"/>
          <w:sz w:val="20"/>
        </w:rPr>
        <w:t>NRx</w:t>
      </w:r>
      <w:r>
        <w:rPr>
          <w:rFonts w:ascii="Times New Roman" w:hAnsi="Times New Roman"/>
          <w:caps w:val="false"/>
          <w:smallCaps w:val="false"/>
          <w:sz w:val="20"/>
        </w:rPr>
        <w:t>,” the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or “</w:t>
      </w:r>
      <w:r>
        <w:rPr>
          <w:rFonts w:ascii="Times New Roman" w:hAnsi="Times New Roman"/>
          <w:i/>
          <w:caps w:val="false"/>
          <w:smallCaps w:val="false"/>
          <w:sz w:val="20"/>
        </w:rPr>
        <w:t>our</w:t>
      </w:r>
      <w:r>
        <w:rPr>
          <w:rFonts w:ascii="Times New Roman" w:hAnsi="Times New Roman"/>
          <w:caps w:val="false"/>
          <w:smallCaps w:val="false"/>
          <w:sz w:val="20"/>
        </w:rPr>
        <w:t>”) is offering         shares of its common stock, par value $0.001 per share (the “</w:t>
      </w:r>
      <w:r>
        <w:rPr>
          <w:rFonts w:ascii="Times New Roman" w:hAnsi="Times New Roman"/>
          <w:i/>
          <w:caps w:val="false"/>
          <w:smallCaps w:val="false"/>
          <w:sz w:val="20"/>
        </w:rPr>
        <w:t>Common Stock</w:t>
      </w:r>
      <w:r>
        <w:rPr>
          <w:rFonts w:ascii="Times New Roman" w:hAnsi="Times New Roman"/>
          <w:caps w:val="false"/>
          <w:smallCaps w:val="false"/>
          <w:sz w:val="20"/>
        </w:rPr>
        <w:t>”) pursuant to this prospectus supplement (this “</w:t>
      </w:r>
      <w:r>
        <w:rPr>
          <w:rFonts w:ascii="Times New Roman" w:hAnsi="Times New Roman"/>
          <w:i/>
          <w:caps w:val="false"/>
          <w:smallCaps w:val="false"/>
          <w:sz w:val="20"/>
        </w:rPr>
        <w:t>Prospectus Supplement</w:t>
      </w:r>
      <w:r>
        <w:rPr>
          <w:rFonts w:ascii="Times New Roman" w:hAnsi="Times New Roman"/>
          <w:caps w:val="false"/>
          <w:smallCaps w:val="false"/>
          <w:sz w:val="20"/>
        </w:rPr>
        <w:t>”) and the accompanying base prospectus (the “</w:t>
      </w:r>
      <w:r>
        <w:rPr>
          <w:rFonts w:ascii="Times New Roman" w:hAnsi="Times New Roman"/>
          <w:i/>
          <w:caps w:val="false"/>
          <w:smallCaps w:val="false"/>
          <w:sz w:val="20"/>
        </w:rPr>
        <w:t>Base Prospectus</w:t>
      </w:r>
      <w:r>
        <w:rPr>
          <w:rFonts w:ascii="Times New Roman" w:hAnsi="Times New Roman"/>
          <w:caps w:val="false"/>
          <w:smallCaps w:val="false"/>
          <w:sz w:val="20"/>
        </w:rPr>
        <w:t>”). The public offering price for each share of Common Stock is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granted the underwriters the option to purchase, exercisable within a 30-day period, up to an additional shares of Common Stock. We are offering all of the shares of Common Stock offered by this Prospectus Supplement on a firm commitment underwritten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w:t>
      </w:r>
      <w:r>
        <w:rPr>
          <w:rFonts w:ascii="Times New Roman" w:hAnsi="Times New Roman"/>
          <w:i/>
          <w:caps w:val="false"/>
          <w:smallCaps w:val="false"/>
          <w:sz w:val="20"/>
        </w:rPr>
        <w:t>Nasdaq</w:t>
      </w:r>
      <w:r>
        <w:rPr>
          <w:rFonts w:ascii="Times New Roman" w:hAnsi="Times New Roman"/>
          <w:caps w:val="false"/>
          <w:smallCaps w:val="false"/>
          <w:sz w:val="20"/>
        </w:rPr>
        <w:t>”) under the symbol “NRXP.” On June 1, 2026, the last reported sale price of our Common Stock on Nasdaq was $4.62 per share.</w:t>
      </w:r>
    </w:p>
    <w:p>
      <w:pPr>
        <w:pStyle w:val="TextBody"/>
        <w:bidi w:val="0"/>
        <w:spacing w:before="0" w:after="0"/>
        <w:ind w:left="0" w:right="0" w:firstLine="72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Investing in our securities involves a high degree of risk, including the risk of a substantial loss of investment. Before purchasing any shares of our common stock, you should read the discussion of the principal risks of investing in our securities, which are summarized in </w:t>
      </w:r>
      <w:r>
        <w:rPr>
          <w:rFonts w:ascii="Times New Roman" w:hAnsi="Times New Roman"/>
          <w:caps w:val="false"/>
          <w:smallCaps w:val="false"/>
          <w:sz w:val="20"/>
        </w:rPr>
        <w:t>“</w:t>
      </w:r>
      <w:r>
        <w:rPr>
          <w:rFonts w:ascii="Times New Roman" w:hAnsi="Times New Roman"/>
          <w:b/>
          <w:i/>
          <w:caps w:val="false"/>
          <w:smallCaps w:val="false"/>
          <w:sz w:val="20"/>
        </w:rPr>
        <w:t>Risk Factors</w:t>
      </w:r>
      <w:r>
        <w:rPr>
          <w:rFonts w:ascii="Times New Roman" w:hAnsi="Times New Roman"/>
          <w:caps w:val="false"/>
          <w:smallCaps w:val="false"/>
          <w:sz w:val="20"/>
        </w:rPr>
        <w:t xml:space="preserve">” </w:t>
      </w:r>
      <w:r>
        <w:rPr>
          <w:rFonts w:ascii="Times New Roman" w:hAnsi="Times New Roman"/>
          <w:b/>
          <w:caps w:val="false"/>
          <w:smallCaps w:val="false"/>
          <w:sz w:val="20"/>
        </w:rPr>
        <w:t>beginning on page</w:t>
      </w:r>
      <w:r>
        <w:rPr>
          <w:rFonts w:ascii="Times New Roman" w:hAnsi="Times New Roman"/>
          <w:caps w:val="false"/>
          <w:smallCaps w:val="false"/>
          <w:sz w:val="20"/>
        </w:rPr>
        <w:t xml:space="preserve"> </w:t>
      </w:r>
      <w:r>
        <w:rPr>
          <w:rFonts w:ascii="Times New Roman" w:hAnsi="Times New Roman"/>
          <w:b/>
          <w:caps w:val="false"/>
          <w:smallCaps w:val="false"/>
          <w:sz w:val="20"/>
        </w:rPr>
        <w:t>S-5 of the Prospectus Supplement and page</w:t>
      </w:r>
      <w:r>
        <w:rPr>
          <w:rFonts w:ascii="Times New Roman" w:hAnsi="Times New Roman"/>
          <w:caps w:val="false"/>
          <w:smallCaps w:val="false"/>
          <w:sz w:val="20"/>
        </w:rPr>
        <w:t xml:space="preserve"> </w:t>
      </w:r>
      <w:r>
        <w:rPr>
          <w:rFonts w:ascii="Times New Roman" w:hAnsi="Times New Roman"/>
          <w:b/>
          <w:caps w:val="false"/>
          <w:smallCaps w:val="false"/>
          <w:sz w:val="20"/>
        </w:rPr>
        <w:t>3 of the Base Prospectus, as well as in other documents incorporated by reference into this Prospectus Supplement.</w:t>
      </w:r>
    </w:p>
    <w:p>
      <w:pPr>
        <w:pStyle w:val="TextBody"/>
        <w:bidi w:val="0"/>
        <w:spacing w:before="0" w:after="0"/>
        <w:ind w:left="0" w:right="0" w:hanging="0"/>
        <w:jc w:val="left"/>
        <w:rPr/>
      </w:pPr>
      <w:r>
        <w:rPr/>
        <w:t> </w:t>
      </w:r>
    </w:p>
    <w:tbl>
      <w:tblPr>
        <w:tblW w:w="5475" w:type="dxa"/>
        <w:jc w:val="left"/>
        <w:tblInd w:w="0" w:type="dxa"/>
        <w:tblLayout w:type="fixed"/>
        <w:tblCellMar>
          <w:top w:w="0" w:type="dxa"/>
          <w:left w:w="0" w:type="dxa"/>
          <w:bottom w:w="0" w:type="dxa"/>
          <w:right w:w="0" w:type="dxa"/>
        </w:tblCellMar>
      </w:tblPr>
      <w:tblGrid>
        <w:gridCol w:w="3605"/>
        <w:gridCol w:w="1310"/>
        <w:gridCol w:w="60"/>
        <w:gridCol w:w="500"/>
      </w:tblGrid>
      <w:tr>
        <w:trPr/>
        <w:tc>
          <w:tcPr>
            <w:tcW w:w="3605" w:type="dxa"/>
            <w:tcBorders/>
            <w:vAlign w:val="center"/>
          </w:tcPr>
          <w:p>
            <w:pPr>
              <w:pStyle w:val="TableContents"/>
              <w:bidi w:val="0"/>
              <w:spacing w:before="0" w:after="283"/>
              <w:jc w:val="left"/>
              <w:rPr/>
            </w:pPr>
            <w:r>
              <w:rPr/>
              <w:t> </w:t>
            </w:r>
          </w:p>
        </w:tc>
        <w:tc>
          <w:tcPr>
            <w:tcW w:w="13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Per share of </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r>
      <w:tr>
        <w:trPr/>
        <w:tc>
          <w:tcPr>
            <w:tcW w:w="3605" w:type="dxa"/>
            <w:tcBorders/>
            <w:shd w:fill="CCEEFF" w:val="clear"/>
            <w:vAlign w:val="center"/>
          </w:tcPr>
          <w:p>
            <w:pPr>
              <w:pStyle w:val="TableContents"/>
              <w:bidi w:val="0"/>
              <w:spacing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price</w:t>
            </w:r>
          </w:p>
        </w:tc>
        <w:tc>
          <w:tcPr>
            <w:tcW w:w="131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605" w:type="dxa"/>
            <w:tcBorders/>
            <w:shd w:fill="FFFFFF" w:val="clear"/>
            <w:vAlign w:val="center"/>
          </w:tcPr>
          <w:p>
            <w:pPr>
              <w:pStyle w:val="TableContents"/>
              <w:bidi w:val="0"/>
              <w:spacing w:lineRule="auto" w:line="288"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Underwriting discounts and commissions(1)</w:t>
            </w:r>
          </w:p>
        </w:tc>
        <w:tc>
          <w:tcPr>
            <w:tcW w:w="131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605" w:type="dxa"/>
            <w:tcBorders/>
            <w:shd w:fill="CCEEFF" w:val="clear"/>
            <w:vAlign w:val="center"/>
          </w:tcPr>
          <w:p>
            <w:pPr>
              <w:pStyle w:val="TableContents"/>
              <w:bidi w:val="0"/>
              <w:spacing w:lineRule="auto" w:line="288" w:before="0" w:after="0"/>
              <w:ind w:left="240" w:right="0" w:hanging="2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before expenses, to us(1)(2)</w:t>
            </w:r>
          </w:p>
        </w:tc>
        <w:tc>
          <w:tcPr>
            <w:tcW w:w="131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tbl>
      <w:tblPr>
        <w:tblW w:w="390" w:type="dxa"/>
        <w:jc w:val="left"/>
        <w:tblInd w:w="0" w:type="dxa"/>
        <w:tblLayout w:type="fixed"/>
        <w:tblCellMar>
          <w:top w:w="0" w:type="dxa"/>
          <w:left w:w="0" w:type="dxa"/>
          <w:bottom w:w="0" w:type="dxa"/>
          <w:right w:w="0" w:type="dxa"/>
        </w:tblCellMar>
      </w:tblPr>
      <w:tblGrid>
        <w:gridCol w:w="135"/>
        <w:gridCol w:w="120"/>
        <w:gridCol w:w="135"/>
      </w:tblGrid>
      <w:tr>
        <w:trPr/>
        <w:tc>
          <w:tcPr>
            <w:tcW w:w="135" w:type="dxa"/>
            <w:tcBorders/>
            <w:vAlign w:val="center"/>
          </w:tcPr>
          <w:p>
            <w:pPr>
              <w:pStyle w:val="TableContents"/>
              <w:bidi w:val="0"/>
              <w:spacing w:before="0" w:after="283"/>
              <w:jc w:val="left"/>
              <w:rPr/>
            </w:pPr>
            <w:r>
              <w:rPr/>
              <w:t> </w:t>
            </w:r>
          </w:p>
        </w:tc>
        <w:tc>
          <w:tcPr>
            <w:tcW w:w="120" w:type="dxa"/>
            <w:tcBorders>
              <w:bottom w:val="single" w:sz="2" w:space="0" w:color="000000"/>
            </w:tcBorders>
            <w:tcMar>
              <w:bottom w:w="30"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bl>
    <w:tbl>
      <w:tblPr>
        <w:tblW w:w="9835" w:type="dxa"/>
        <w:jc w:val="left"/>
        <w:tblInd w:w="0" w:type="dxa"/>
        <w:tblLayout w:type="fixed"/>
        <w:tblCellMar>
          <w:top w:w="0" w:type="dxa"/>
          <w:left w:w="0" w:type="dxa"/>
          <w:bottom w:w="0" w:type="dxa"/>
          <w:right w:w="0" w:type="dxa"/>
        </w:tblCellMar>
      </w:tblPr>
      <w:tblGrid>
        <w:gridCol w:w="60"/>
        <w:gridCol w:w="230"/>
        <w:gridCol w:w="954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(1)</w:t>
            </w:r>
          </w:p>
        </w:tc>
        <w:tc>
          <w:tcPr>
            <w:tcW w:w="9545"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See “</w:t>
            </w:r>
            <w:r>
              <w:rPr>
                <w:rFonts w:ascii="Times New Roman;Times;serif" w:hAnsi="Times New Roman;Times;serif"/>
                <w:i/>
                <w:sz w:val="16"/>
              </w:rPr>
              <w:t>Underwriting</w:t>
            </w:r>
            <w:r>
              <w:rPr>
                <w:rFonts w:ascii="Times New Roman;Times;serif" w:hAnsi="Times New Roman;Times;serif"/>
                <w:sz w:val="16"/>
              </w:rPr>
              <w:t>” beginning on page S-10 for additional information regarding compensation payable in connection with this offering.</w:t>
            </w:r>
          </w:p>
        </w:tc>
      </w:tr>
    </w:tbl>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(2)</w:t>
            </w:r>
          </w:p>
        </w:tc>
        <w:tc>
          <w:tcPr>
            <w:tcW w:w="9941" w:type="dxa"/>
            <w:tcBorders/>
            <w:vAlign w:val="center"/>
          </w:tcPr>
          <w:p>
            <w:pPr>
              <w:pStyle w:val="TableContents"/>
              <w:bidi w:val="0"/>
              <w:spacing w:before="0" w:after="0"/>
              <w:ind w:left="0" w:right="0" w:hanging="0"/>
              <w:jc w:val="both"/>
              <w:rPr>
                <w:rFonts w:ascii="Times New Roman;Times;serif" w:hAnsi="Times New Roman;Times;serif"/>
                <w:sz w:val="16"/>
              </w:rPr>
            </w:pPr>
            <w:r>
              <w:rPr>
                <w:rFonts w:ascii="Times New Roman;Times;serif" w:hAnsi="Times New Roman;Times;serif"/>
                <w:sz w:val="16"/>
              </w:rPr>
              <w:t>If the underwriters exercise their option to purchase additional shares of Common Stock in full, the total underwriting discounts and commissions payable by us will be $        , and the total proceeds to us, before expenses, will be $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Delivery of the shares of Common Stock offered hereby is expected to be made on or about June        , 2026, subject to the satisfaction of certain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Lead Bookrunning Manager</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BTIG</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Joint Bookrunning Manager</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Lucid Capital Markets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date of this Prospectus Supplement is June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4670"/>
        <w:gridCol w:w="395"/>
      </w:tblGrid>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About this Prospectus Supplement</w:t>
            </w:r>
          </w:p>
        </w:tc>
        <w:tc>
          <w:tcPr>
            <w:tcW w:w="3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Cautionary Note Regarding Forward-Looking Statements</w:t>
            </w:r>
          </w:p>
        </w:tc>
        <w:tc>
          <w:tcPr>
            <w:tcW w:w="39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S-2</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Summary</w:t>
            </w:r>
          </w:p>
        </w:tc>
        <w:tc>
          <w:tcPr>
            <w:tcW w:w="3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S-3</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39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S-5</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of Proceeds</w:t>
            </w:r>
          </w:p>
        </w:tc>
        <w:tc>
          <w:tcPr>
            <w:tcW w:w="3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S-8</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Dilution</w:t>
            </w:r>
          </w:p>
        </w:tc>
        <w:tc>
          <w:tcPr>
            <w:tcW w:w="39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S-9</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Underwriting</w:t>
            </w:r>
          </w:p>
        </w:tc>
        <w:tc>
          <w:tcPr>
            <w:tcW w:w="3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S-10</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Matters</w:t>
            </w:r>
          </w:p>
        </w:tc>
        <w:tc>
          <w:tcPr>
            <w:tcW w:w="39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S-16</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Experts</w:t>
            </w:r>
          </w:p>
        </w:tc>
        <w:tc>
          <w:tcPr>
            <w:tcW w:w="3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S-16</w:t>
            </w:r>
          </w:p>
        </w:tc>
      </w:tr>
      <w:tr>
        <w:trPr/>
        <w:tc>
          <w:tcPr>
            <w:tcW w:w="46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Where You Can Find More Information</w:t>
            </w:r>
          </w:p>
        </w:tc>
        <w:tc>
          <w:tcPr>
            <w:tcW w:w="39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S-16</w:t>
            </w:r>
          </w:p>
        </w:tc>
      </w:tr>
      <w:tr>
        <w:trPr/>
        <w:tc>
          <w:tcPr>
            <w:tcW w:w="4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Incorporation of Documents by Reference</w:t>
            </w:r>
          </w:p>
        </w:tc>
        <w:tc>
          <w:tcPr>
            <w:tcW w:w="39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S-16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8030"/>
        <w:gridCol w:w="230"/>
      </w:tblGrid>
      <w:tr>
        <w:trPr/>
        <w:tc>
          <w:tcPr>
            <w:tcW w:w="80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About This Prospectus</w:t>
            </w:r>
          </w:p>
        </w:tc>
        <w:tc>
          <w:tcPr>
            <w:tcW w:w="2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r>
      <w:tr>
        <w:trPr/>
        <w:tc>
          <w:tcPr>
            <w:tcW w:w="80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Prospectus Summary</w:t>
            </w:r>
          </w:p>
        </w:tc>
        <w:tc>
          <w:tcPr>
            <w:tcW w:w="2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tc>
      </w:tr>
      <w:tr>
        <w:trPr/>
        <w:tc>
          <w:tcPr>
            <w:tcW w:w="80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2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tc>
      </w:tr>
      <w:tr>
        <w:trPr/>
        <w:tc>
          <w:tcPr>
            <w:tcW w:w="80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Cautionary Note Regarding Forward-Looking Statements</w:t>
            </w:r>
          </w:p>
        </w:tc>
        <w:tc>
          <w:tcPr>
            <w:tcW w:w="2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r>
      <w:tr>
        <w:trPr/>
        <w:tc>
          <w:tcPr>
            <w:tcW w:w="80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of Proceeds</w:t>
            </w:r>
          </w:p>
        </w:tc>
        <w:tc>
          <w:tcPr>
            <w:tcW w:w="2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tc>
      </w:tr>
      <w:tr>
        <w:trPr/>
        <w:tc>
          <w:tcPr>
            <w:tcW w:w="80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our Capital Stock</w:t>
            </w:r>
          </w:p>
        </w:tc>
        <w:tc>
          <w:tcPr>
            <w:tcW w:w="2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tc>
      </w:tr>
      <w:tr>
        <w:trPr/>
        <w:tc>
          <w:tcPr>
            <w:tcW w:w="80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the Debt Securities</w:t>
            </w:r>
          </w:p>
        </w:tc>
        <w:tc>
          <w:tcPr>
            <w:tcW w:w="2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tc>
      </w:tr>
      <w:tr>
        <w:trPr/>
        <w:tc>
          <w:tcPr>
            <w:tcW w:w="80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the Depositary Shares</w:t>
            </w:r>
          </w:p>
        </w:tc>
        <w:tc>
          <w:tcPr>
            <w:tcW w:w="2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tc>
      </w:tr>
      <w:tr>
        <w:trPr/>
        <w:tc>
          <w:tcPr>
            <w:tcW w:w="80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the Warrants</w:t>
            </w:r>
          </w:p>
        </w:tc>
        <w:tc>
          <w:tcPr>
            <w:tcW w:w="2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tc>
      </w:tr>
      <w:tr>
        <w:trPr/>
        <w:tc>
          <w:tcPr>
            <w:tcW w:w="80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the Rights</w:t>
            </w:r>
          </w:p>
        </w:tc>
        <w:tc>
          <w:tcPr>
            <w:tcW w:w="2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tc>
      </w:tr>
      <w:tr>
        <w:trPr/>
        <w:tc>
          <w:tcPr>
            <w:tcW w:w="80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the Purchase Contracts</w:t>
            </w:r>
          </w:p>
        </w:tc>
        <w:tc>
          <w:tcPr>
            <w:tcW w:w="2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tc>
      </w:tr>
      <w:tr>
        <w:trPr/>
        <w:tc>
          <w:tcPr>
            <w:tcW w:w="80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the Units</w:t>
            </w:r>
          </w:p>
        </w:tc>
        <w:tc>
          <w:tcPr>
            <w:tcW w:w="2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tc>
      </w:tr>
      <w:tr>
        <w:trPr/>
        <w:tc>
          <w:tcPr>
            <w:tcW w:w="80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Certain Provisions of Delaware Law and our Certificate of Incorporation and Bylaws</w:t>
            </w:r>
          </w:p>
        </w:tc>
        <w:tc>
          <w:tcPr>
            <w:tcW w:w="2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tc>
      </w:tr>
      <w:tr>
        <w:trPr/>
        <w:tc>
          <w:tcPr>
            <w:tcW w:w="80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Plan of Distribution</w:t>
            </w:r>
          </w:p>
        </w:tc>
        <w:tc>
          <w:tcPr>
            <w:tcW w:w="2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tc>
      </w:tr>
      <w:tr>
        <w:trPr/>
        <w:tc>
          <w:tcPr>
            <w:tcW w:w="80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Matters</w:t>
            </w:r>
          </w:p>
        </w:tc>
        <w:tc>
          <w:tcPr>
            <w:tcW w:w="2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tc>
      </w:tr>
      <w:tr>
        <w:trPr/>
        <w:tc>
          <w:tcPr>
            <w:tcW w:w="80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Experts</w:t>
            </w:r>
          </w:p>
        </w:tc>
        <w:tc>
          <w:tcPr>
            <w:tcW w:w="2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tc>
      </w:tr>
      <w:tr>
        <w:trPr/>
        <w:tc>
          <w:tcPr>
            <w:tcW w:w="80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Where You Can Find More Information</w:t>
            </w:r>
          </w:p>
        </w:tc>
        <w:tc>
          <w:tcPr>
            <w:tcW w:w="23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tc>
      </w:tr>
      <w:tr>
        <w:trPr/>
        <w:tc>
          <w:tcPr>
            <w:tcW w:w="80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Incorporation of Certain Information by Reference</w:t>
            </w:r>
          </w:p>
        </w:tc>
        <w:tc>
          <w:tcPr>
            <w:tcW w:w="23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Supplement and the accompanying Base Prospectus are part of a “shelf” registration statement on Form S-3, as amended, (File No. 333-288205) that we originally filed with the U.S. Securities and Exchange Commission (the “</w:t>
      </w:r>
      <w:r>
        <w:rPr>
          <w:rFonts w:ascii="Times New Roman" w:hAnsi="Times New Roman"/>
          <w:i/>
          <w:caps w:val="false"/>
          <w:smallCaps w:val="false"/>
          <w:sz w:val="20"/>
        </w:rPr>
        <w:t>SEC</w:t>
      </w:r>
      <w:r>
        <w:rPr>
          <w:rFonts w:ascii="Times New Roman" w:hAnsi="Times New Roman"/>
          <w:caps w:val="false"/>
          <w:smallCaps w:val="false"/>
          <w:sz w:val="20"/>
        </w:rPr>
        <w:t>”), on June 20, 2025, and an amendment thereto on December 12, 2025 and which became effective on December 22, 2025. Under this shelf registration process, we may, from time to time, sell shares of our Common Stock in one or more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Supplement and the accompanying Base Prospectus do not contain all of the information in the registration statement. We have omitted certain parts of the registration statement, as permitted by the rules and regulations of the SEC. You should read this entire Prospectus Supplement and the accompanying Base Prospectus, together with the additional information described therein under the headings “</w:t>
      </w:r>
      <w:r>
        <w:rPr>
          <w:rFonts w:ascii="Times New Roman" w:hAnsi="Times New Roman"/>
          <w:i/>
          <w:caps w:val="false"/>
          <w:smallCaps w:val="false"/>
          <w:sz w:val="20"/>
        </w:rPr>
        <w:t>Incorporation of Certain Documents by Reference</w:t>
      </w:r>
      <w:r>
        <w:rPr>
          <w:rFonts w:ascii="Times New Roman" w:hAnsi="Times New Roman"/>
          <w:caps w:val="false"/>
          <w:smallCaps w:val="false"/>
          <w:sz w:val="20"/>
        </w:rPr>
        <w:t>” and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carefully before making an investment decision. The accompanying Base Prospectus, including the documents incorporated by reference therein, provides more general information, some of which may not apply to this offering. Generally, when we refer to this “</w:t>
      </w:r>
      <w:r>
        <w:rPr>
          <w:rFonts w:ascii="Times New Roman" w:hAnsi="Times New Roman"/>
          <w:i/>
          <w:caps w:val="false"/>
          <w:smallCaps w:val="false"/>
          <w:sz w:val="20"/>
        </w:rPr>
        <w:t>Prospectus</w:t>
      </w:r>
      <w:r>
        <w:rPr>
          <w:rFonts w:ascii="Times New Roman" w:hAnsi="Times New Roman"/>
          <w:caps w:val="false"/>
          <w:smallCaps w:val="false"/>
          <w:sz w:val="20"/>
        </w:rPr>
        <w:t>,” we are referring to both this Prospectus Supplement and the accompanying Base Prospectus combined.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contained, or incorporated by reference, in this Prospectus Supplement and the accompanying Base Prospectus. Neither we nor the underwriters have authorized anyone to provide you with different information. If anyone provides you with different or inconsistent information, you should not rely on it. Neither we nor the underwriters are making an offer to sell the securities in any jurisdiction where the offer or sale is not permitted or in which the person making such offer or solicitation is not qualified to do so or to any person to whom it is unlawful to make such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the extent there is a conflict between the information contained in this Prospectus Supplement, on the one hand, and the accompanying Base Prospectus or in any document incorporated by reference that was filed with the SEC before the date of this Prospectus Supplement, as amended, on the other hand, you should rely on the information in this Prospectus Supplement. If any statement in one of these documents is inconsistent with a statement in another document having a later date - for example, a document incorporated by reference in the accompanying Base Prospectus - 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assume that the information contained in this Prospectus Supplement is accurate as of the date on the front cover of this Prospectus Supplement only and that any information we have incorporated by reference or included in the Base Prospectus is accurate only as of the date given in the document incorporated by reference or as of the date of the Prospectus, as applicable, regardless of the time of delivery of this Prospectus Supplement, or the accompanying Base Prospectus or any sale of our common stock. Our business, financial condition, liquidity, results of operations and prospects may have changed since that date.</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not consider any information in this Prospectus Supplement or the accompanying Base Prospectus to be investment, legal or tax advice. You should consult your own counsel, accountants and other advisers for legal, tax, business, financial and related advice regarding the purchase of the Common Stock offered by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the context otherwise indicates, references in this Prospectus Supplement to the “</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and “</w:t>
      </w:r>
      <w:r>
        <w:rPr>
          <w:rFonts w:ascii="Times New Roman" w:hAnsi="Times New Roman"/>
          <w:i/>
          <w:caps w:val="false"/>
          <w:smallCaps w:val="false"/>
          <w:sz w:val="20"/>
        </w:rPr>
        <w:t>our</w:t>
      </w:r>
      <w:r>
        <w:rPr>
          <w:rFonts w:ascii="Times New Roman" w:hAnsi="Times New Roman"/>
          <w:caps w:val="false"/>
          <w:smallCaps w:val="false"/>
          <w:sz w:val="20"/>
        </w:rPr>
        <w:t>” refer to NRx Pharmaceuticals, Inc., a Delaware corporation, and its consolidated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Supplement, the accompanying Base Prospectus and the information incorporated by reference herein include “forward-looking statements” within the meaning of the “safe harbor” provisions of the U.S. Private Securities Litigation Reform Act of 1995, which may include, but are not limited to, statements regarding our financial outlook, product development, business prospects, and market and industry trends and conditions, as well as the Company’s strategies, plans, objectives, and goals. These forward-looking statements are based on current beliefs, expectations, estimates, forecasts, and projections of, as well as assumptions made by, and information currently available to, the Company’s management. Words such as “expect,” “anticipate,” “should,” “believe,” “hope,” “target,” “project,” “goals,” “estimate,” “potential,” “predict,” “may,” “will,” “might,” “could,” “would,” “seek,” “plan,” “intend,” “shall,” and variations of these terms or the negative of these terms and similar expressions are intended to identify these forward-looking statements. These forward-looking statements are, by their nature, subject to significant risks and uncertainties, many of which involve factors or circumstances that are beyond the Company’s control. These risks and uncertainties include, but are not limited to, our relatively limited operating history; our ability to expand, retain and motivate our employees and manage our growth; risks associated with general industry conditions and competition; general economic factors, including interest rate and currency exchange rate fluctuations; the impact of pharmaceutical industry regulation and health care legislation in the United States and internationally; technological advances, new products and patents attained by competitors; challenges inherent in new product development, including obtaining regulatory approval; the Company’s ability to accurately predict future market conditions; manufacturing difficulties or delays; changes in laws, rules or regulations relating to any aspect of the Company’s business operations, or general economic, market and business conditions; financial instability of international economies and sovereign risk; dependence on the effectiveness of the Company’s patents and other protections for innovative products; and the exposure to litigation, including patent litigation, and/or regulatory actions. Furthermore, there can be no guarantees with respect to pipeline products that the products will receive the necessary regulatory approvals or that they will prove to be commercially successful. If underlying assumptions prove inaccurate or risks or uncertainties materialize, actual results may differ materially from those set forth in the forward-looking statements. The Company assumes no obligation and does not intend to update or otherwise revise any forward-looking statement, whether as a result of new information, future events or otherwise, except as required by applicable law. As a result of these and other risks, uncertainties and assumptions, forward-looking events and circumstances discussed herein might not occur in the way that the Company’s management expects, if at all. Accordingly, you should not place reliance on any forward-looking statement, and all forward-looking statements are herein qualified by reference to the cautionary statements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bdr w:val="single" w:sz="2" w:space="8" w:color="000000"/>
        </w:rPr>
      </w:pPr>
      <w:r>
        <w:rPr>
          <w:bdr w:val="single" w:sz="2" w:space="8" w:color="000000"/>
        </w:rPr>
        <w:t> </w:t>
      </w:r>
    </w:p>
    <w:p>
      <w:pPr>
        <w:pStyle w:val="TextBody"/>
        <w:bidi w:val="0"/>
        <w:spacing w:before="0" w:after="0"/>
        <w:ind w:left="0" w:right="0" w:hanging="0"/>
        <w:jc w:val="center"/>
        <w:rPr>
          <w:rFonts w:ascii="Times New Roman" w:hAnsi="Times New Roman"/>
          <w:b/>
          <w:caps w:val="false"/>
          <w:smallCaps w:val="false"/>
          <w:sz w:val="20"/>
          <w:bdr w:val="single" w:sz="2" w:space="8" w:color="000000"/>
        </w:rPr>
      </w:pPr>
      <w:r>
        <w:rPr>
          <w:rFonts w:ascii="Times New Roman" w:hAnsi="Times New Roman"/>
          <w:b/>
          <w:caps w:val="false"/>
          <w:smallCaps w:val="false"/>
          <w:sz w:val="20"/>
          <w:bdr w:val="single" w:sz="2" w:space="8" w:color="000000"/>
        </w:rPr>
        <w:t>SUMMARY</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720"/>
        <w:jc w:val="both"/>
        <w:rPr>
          <w:rFonts w:ascii="Times New Roman" w:hAnsi="Times New Roman"/>
          <w:caps w:val="false"/>
          <w:smallCaps w:val="false"/>
          <w:sz w:val="20"/>
          <w:bdr w:val="single" w:sz="2" w:space="8" w:color="000000"/>
        </w:rPr>
      </w:pPr>
      <w:r>
        <w:rPr>
          <w:rFonts w:ascii="Times New Roman" w:hAnsi="Times New Roman"/>
          <w:i/>
          <w:caps w:val="false"/>
          <w:smallCaps w:val="false"/>
          <w:sz w:val="20"/>
          <w:bdr w:val="single" w:sz="2" w:space="8" w:color="000000"/>
        </w:rPr>
        <w:t xml:space="preserve">This summary highlights certain information contained in or incorporated by reference into this Prospectus Supplement and the accompanying Base Prospectus. Because this is only a summary, it does not contain all of the information that may be important to you. We encourage you to read this entire Prospectus Supplement, the accompanying Base Prospectus, the sections titled </w:t>
      </w:r>
      <w:r>
        <w:rPr>
          <w:rFonts w:ascii="Times New Roman" w:hAnsi="Times New Roman"/>
          <w:caps w:val="false"/>
          <w:smallCaps w:val="false"/>
          <w:sz w:val="20"/>
          <w:bdr w:val="single" w:sz="2" w:space="8" w:color="000000"/>
        </w:rPr>
        <w:t>“</w:t>
      </w:r>
      <w:r>
        <w:rPr>
          <w:rFonts w:ascii="Times New Roman" w:hAnsi="Times New Roman"/>
          <w:i/>
          <w:caps w:val="false"/>
          <w:smallCaps w:val="false"/>
          <w:sz w:val="20"/>
          <w:bdr w:val="single" w:sz="2" w:space="8" w:color="000000"/>
        </w:rPr>
        <w:t>Risk Factors</w:t>
      </w:r>
      <w:r>
        <w:rPr>
          <w:rFonts w:ascii="Times New Roman" w:hAnsi="Times New Roman"/>
          <w:caps w:val="false"/>
          <w:smallCaps w:val="false"/>
          <w:sz w:val="20"/>
          <w:bdr w:val="single" w:sz="2" w:space="8" w:color="000000"/>
        </w:rPr>
        <w:t xml:space="preserve">” </w:t>
      </w:r>
      <w:r>
        <w:rPr>
          <w:rFonts w:ascii="Times New Roman" w:hAnsi="Times New Roman"/>
          <w:i/>
          <w:caps w:val="false"/>
          <w:smallCaps w:val="false"/>
          <w:sz w:val="20"/>
          <w:bdr w:val="single" w:sz="2" w:space="8" w:color="000000"/>
        </w:rPr>
        <w:t xml:space="preserve">and </w:t>
      </w:r>
      <w:r>
        <w:rPr>
          <w:rFonts w:ascii="Times New Roman" w:hAnsi="Times New Roman"/>
          <w:caps w:val="false"/>
          <w:smallCaps w:val="false"/>
          <w:sz w:val="20"/>
          <w:bdr w:val="single" w:sz="2" w:space="8" w:color="000000"/>
        </w:rPr>
        <w:t>“</w:t>
      </w:r>
      <w:r>
        <w:rPr>
          <w:rFonts w:ascii="Times New Roman" w:hAnsi="Times New Roman"/>
          <w:i/>
          <w:caps w:val="false"/>
          <w:smallCaps w:val="false"/>
          <w:sz w:val="20"/>
          <w:bdr w:val="single" w:sz="2" w:space="8" w:color="000000"/>
        </w:rPr>
        <w:t>Management</w:t>
      </w:r>
      <w:r>
        <w:rPr>
          <w:rFonts w:ascii="Times New Roman" w:hAnsi="Times New Roman"/>
          <w:caps w:val="false"/>
          <w:smallCaps w:val="false"/>
          <w:sz w:val="20"/>
          <w:bdr w:val="single" w:sz="2" w:space="8" w:color="000000"/>
        </w:rPr>
        <w:t>’</w:t>
      </w:r>
      <w:r>
        <w:rPr>
          <w:rFonts w:ascii="Times New Roman" w:hAnsi="Times New Roman"/>
          <w:i/>
          <w:caps w:val="false"/>
          <w:smallCaps w:val="false"/>
          <w:sz w:val="20"/>
          <w:bdr w:val="single" w:sz="2" w:space="8" w:color="000000"/>
        </w:rPr>
        <w:t>s Discussion and Analysis of Financial Condition and Results of Operations,</w:t>
      </w:r>
      <w:r>
        <w:rPr>
          <w:rFonts w:ascii="Times New Roman" w:hAnsi="Times New Roman"/>
          <w:caps w:val="false"/>
          <w:smallCaps w:val="false"/>
          <w:sz w:val="20"/>
          <w:bdr w:val="single" w:sz="2" w:space="8" w:color="000000"/>
        </w:rPr>
        <w:t xml:space="preserve">” </w:t>
      </w:r>
      <w:r>
        <w:rPr>
          <w:rFonts w:ascii="Times New Roman" w:hAnsi="Times New Roman"/>
          <w:i/>
          <w:caps w:val="false"/>
          <w:smallCaps w:val="false"/>
          <w:sz w:val="20"/>
          <w:bdr w:val="single" w:sz="2" w:space="8" w:color="000000"/>
        </w:rPr>
        <w:t>together with our consolidated financial statements and the related notes thereto in our most recent Annual Report on Form 10-K and Quarterly Report on Form 10-Q, and the other documents incorporated herein by reference, before making a decision whether to invest in our Common Stock.</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left"/>
        <w:rPr>
          <w:rFonts w:ascii="Times New Roman" w:hAnsi="Times New Roman"/>
          <w:b/>
          <w:caps w:val="false"/>
          <w:smallCaps w:val="false"/>
          <w:sz w:val="20"/>
          <w:bdr w:val="single" w:sz="2" w:space="8" w:color="000000"/>
        </w:rPr>
      </w:pPr>
      <w:r>
        <w:rPr>
          <w:rFonts w:ascii="Times New Roman" w:hAnsi="Times New Roman"/>
          <w:b/>
          <w:caps w:val="false"/>
          <w:smallCaps w:val="false"/>
          <w:sz w:val="20"/>
          <w:bdr w:val="single" w:sz="2" w:space="8" w:color="000000"/>
        </w:rPr>
        <w:t>Company Overview</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We are a clinical-stage bio-pharmaceutical company which develops and expects to distribute, through our wholly-owned operating subsidiary, NeuroRx, Inc. (“</w:t>
      </w:r>
      <w:r>
        <w:rPr>
          <w:rFonts w:ascii="Times New Roman" w:hAnsi="Times New Roman"/>
          <w:i/>
          <w:caps w:val="false"/>
          <w:smallCaps w:val="false"/>
          <w:sz w:val="20"/>
          <w:bdr w:val="single" w:sz="2" w:space="8" w:color="000000"/>
        </w:rPr>
        <w:t>NeuroRx</w:t>
      </w:r>
      <w:r>
        <w:rPr>
          <w:rFonts w:ascii="Times New Roman" w:hAnsi="Times New Roman"/>
          <w:caps w:val="false"/>
          <w:smallCaps w:val="false"/>
          <w:sz w:val="20"/>
          <w:bdr w:val="single" w:sz="2" w:space="8" w:color="000000"/>
        </w:rPr>
        <w:t>”), novel therapeutics for the treatment of central nervous system disorders including suicidal depression, chronic pain, post-traumatic stress disorder (“</w:t>
      </w:r>
      <w:r>
        <w:rPr>
          <w:rFonts w:ascii="Times New Roman" w:hAnsi="Times New Roman"/>
          <w:i/>
          <w:caps w:val="false"/>
          <w:smallCaps w:val="false"/>
          <w:sz w:val="20"/>
          <w:bdr w:val="single" w:sz="2" w:space="8" w:color="000000"/>
        </w:rPr>
        <w:t>PTSD</w:t>
      </w:r>
      <w:r>
        <w:rPr>
          <w:rFonts w:ascii="Times New Roman" w:hAnsi="Times New Roman"/>
          <w:caps w:val="false"/>
          <w:smallCaps w:val="false"/>
          <w:sz w:val="20"/>
          <w:bdr w:val="single" w:sz="2" w:space="8" w:color="000000"/>
        </w:rPr>
        <w:t>”) and schizophrenia. We are additionally the founder and majority owner of HOPE Therapeutics, Inc. (“</w:t>
      </w:r>
      <w:r>
        <w:rPr>
          <w:rFonts w:ascii="Times New Roman" w:hAnsi="Times New Roman"/>
          <w:i/>
          <w:caps w:val="false"/>
          <w:smallCaps w:val="false"/>
          <w:sz w:val="20"/>
          <w:bdr w:val="single" w:sz="2" w:space="8" w:color="000000"/>
        </w:rPr>
        <w:t>HOPE</w:t>
      </w:r>
      <w:r>
        <w:rPr>
          <w:rFonts w:ascii="Times New Roman" w:hAnsi="Times New Roman"/>
          <w:caps w:val="false"/>
          <w:smallCaps w:val="false"/>
          <w:sz w:val="20"/>
          <w:bdr w:val="single" w:sz="2" w:space="8" w:color="000000"/>
        </w:rPr>
        <w:t>”), a medical services company that offers interventional psychiatry care to patients with treatment-resistant depression and PTSD with a combination of neuroplastic drugs, transcranial magnetic stimulation (“</w:t>
      </w:r>
      <w:r>
        <w:rPr>
          <w:rFonts w:ascii="Times New Roman" w:hAnsi="Times New Roman"/>
          <w:i/>
          <w:caps w:val="false"/>
          <w:smallCaps w:val="false"/>
          <w:sz w:val="20"/>
          <w:bdr w:val="single" w:sz="2" w:space="8" w:color="000000"/>
        </w:rPr>
        <w:t>TMS</w:t>
      </w:r>
      <w:r>
        <w:rPr>
          <w:rFonts w:ascii="Times New Roman" w:hAnsi="Times New Roman"/>
          <w:caps w:val="false"/>
          <w:smallCaps w:val="false"/>
          <w:sz w:val="20"/>
          <w:bdr w:val="single" w:sz="2" w:space="8" w:color="000000"/>
        </w:rPr>
        <w:t>”), digital therapeutics, and hyperbaric therapy. In 2026, we founded two additional Florida-based subsidiaries: NRx Defense Systems, Inc. (“NDS”) and GeNeuro, Inc. (“</w:t>
      </w:r>
      <w:r>
        <w:rPr>
          <w:rFonts w:ascii="Times New Roman" w:hAnsi="Times New Roman"/>
          <w:i/>
          <w:caps w:val="false"/>
          <w:smallCaps w:val="false"/>
          <w:sz w:val="20"/>
          <w:bdr w:val="single" w:sz="2" w:space="8" w:color="000000"/>
        </w:rPr>
        <w:t>GeNeuro</w:t>
      </w:r>
      <w:r>
        <w:rPr>
          <w:rFonts w:ascii="Times New Roman" w:hAnsi="Times New Roman"/>
          <w:caps w:val="false"/>
          <w:smallCaps w:val="false"/>
          <w:sz w:val="20"/>
          <w:bdr w:val="single" w:sz="2" w:space="8" w:color="000000"/>
        </w:rPr>
        <w:t>”). Historically, our drug development activities are focused on drugs that enhance neuroplasticity by modulating the N-methyl-D-aspartate (“</w:t>
      </w:r>
      <w:r>
        <w:rPr>
          <w:rFonts w:ascii="Times New Roman" w:hAnsi="Times New Roman"/>
          <w:i/>
          <w:caps w:val="false"/>
          <w:smallCaps w:val="false"/>
          <w:sz w:val="20"/>
          <w:bdr w:val="single" w:sz="2" w:space="8" w:color="000000"/>
        </w:rPr>
        <w:t>NMDA</w:t>
      </w:r>
      <w:r>
        <w:rPr>
          <w:rFonts w:ascii="Times New Roman" w:hAnsi="Times New Roman"/>
          <w:caps w:val="false"/>
          <w:smallCaps w:val="false"/>
          <w:sz w:val="20"/>
          <w:bdr w:val="single" w:sz="2" w:space="8" w:color="000000"/>
        </w:rPr>
        <w:t>”) receptor in the brain and nervous system, a neurochemical pathway that has been disclosed in detail in our annual filings. NDS is focused on advancing recent clinical findings that suggest low-dose D-cycloserine (the key ingredient in NRX-101) may increase the antidepressant and anti-suicidal effects of TMS by more than two-fold; while, GeNeuro is expected to focus on a portfolio of diagnostic and therapeutic advances related to the role of Human Endogenous Retroviruses in causing Central Nervous System Diseases including Schizophrenia and other Psychoses, Multiple Sclerosis, Amyelotrophic Lateral Sclerosis, autism, and Optic Neuritis. GeNeuro is partnered with the US National Institutes of Health through a prior Cooperative Research and Development Agreement with the Fondation FondaMental (Paris).</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left"/>
        <w:rPr>
          <w:rFonts w:ascii="Times New Roman" w:hAnsi="Times New Roman"/>
          <w:b/>
          <w:caps w:val="false"/>
          <w:smallCaps w:val="false"/>
          <w:sz w:val="20"/>
          <w:bdr w:val="single" w:sz="2" w:space="8" w:color="000000"/>
        </w:rPr>
      </w:pPr>
      <w:r>
        <w:rPr>
          <w:rFonts w:ascii="Times New Roman" w:hAnsi="Times New Roman"/>
          <w:b/>
          <w:caps w:val="false"/>
          <w:smallCaps w:val="false"/>
          <w:sz w:val="20"/>
          <w:bdr w:val="single" w:sz="2" w:space="8" w:color="000000"/>
        </w:rPr>
        <w:t>Corporate Information</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72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 xml:space="preserve">We were incorporated under the laws of the State of Delaware on September 18, 2017 under the name Big Rock Partners Acquisition Corp. Upon the closing of the business combination with NeuroRx, Inc. on May 24, 2021, we changed our name to NRx Pharmaceuticals, Inc. Our principal executive offices are located at 1201 Orange Street, Suite 600, Wilmington, Delaware 19801, our mailing address is 1201 North Market Street, Suite 111, Wilmington, Delaware 19801 and our telephone number is (484) 254-6134. Our website address is </w:t>
      </w:r>
      <w:r>
        <w:rPr>
          <w:rFonts w:ascii="Times New Roman" w:hAnsi="Times New Roman"/>
          <w:i/>
          <w:caps w:val="false"/>
          <w:smallCaps w:val="false"/>
          <w:sz w:val="20"/>
          <w:bdr w:val="single" w:sz="2" w:space="8" w:color="000000"/>
        </w:rPr>
        <w:t>www.nrxpharma.com</w:t>
      </w:r>
      <w:r>
        <w:rPr>
          <w:rFonts w:ascii="Times New Roman" w:hAnsi="Times New Roman"/>
          <w:caps w:val="false"/>
          <w:smallCaps w:val="false"/>
          <w:sz w:val="20"/>
          <w:bdr w:val="single" w:sz="2" w:space="8" w:color="000000"/>
        </w:rPr>
        <w:t>. The information contained on, or accessible through, our website does not constitute a part of and is not incorporated by reference in this Prospectus Supplement. We have included our website address in this Prospectus Supplement solely as an inactive textual reference.</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bdr w:val="single" w:sz="2" w:space="8" w:color="000000"/>
        </w:rPr>
      </w:pPr>
      <w:r>
        <w:rPr>
          <w:bdr w:val="single" w:sz="2" w:space="8" w:color="000000"/>
        </w:rPr>
        <w:t> </w:t>
      </w:r>
    </w:p>
    <w:p>
      <w:pPr>
        <w:pStyle w:val="TextBody"/>
        <w:bidi w:val="0"/>
        <w:spacing w:before="0" w:after="0"/>
        <w:ind w:left="0" w:right="0" w:hanging="0"/>
        <w:jc w:val="center"/>
        <w:rPr>
          <w:rFonts w:ascii="Times New Roman" w:hAnsi="Times New Roman"/>
          <w:b/>
          <w:caps w:val="false"/>
          <w:smallCaps w:val="false"/>
          <w:sz w:val="20"/>
          <w:bdr w:val="single" w:sz="2" w:space="8" w:color="000000"/>
        </w:rPr>
      </w:pPr>
      <w:r>
        <w:rPr>
          <w:rFonts w:ascii="Times New Roman" w:hAnsi="Times New Roman"/>
          <w:b/>
          <w:caps w:val="false"/>
          <w:smallCaps w:val="false"/>
          <w:sz w:val="20"/>
          <w:bdr w:val="single" w:sz="2" w:space="8" w:color="000000"/>
        </w:rPr>
        <w:t>THE OFFERING</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tbl>
      <w:tblPr>
        <w:tblW w:w="10205" w:type="dxa"/>
        <w:jc w:val="left"/>
        <w:tblInd w:w="0" w:type="dxa"/>
        <w:tblLayout w:type="fixed"/>
        <w:tblCellMar>
          <w:top w:w="0" w:type="dxa"/>
          <w:left w:w="0" w:type="dxa"/>
          <w:bottom w:w="0" w:type="dxa"/>
          <w:right w:w="0" w:type="dxa"/>
        </w:tblCellMar>
      </w:tblPr>
      <w:tblGrid>
        <w:gridCol w:w="1742"/>
        <w:gridCol w:w="60"/>
        <w:gridCol w:w="8403"/>
      </w:tblGrid>
      <w:tr>
        <w:trPr/>
        <w:tc>
          <w:tcPr>
            <w:tcW w:w="17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Offered:</w:t>
            </w:r>
          </w:p>
        </w:tc>
        <w:tc>
          <w:tcPr>
            <w:tcW w:w="60" w:type="dxa"/>
            <w:tcBorders/>
            <w:vAlign w:val="center"/>
          </w:tcPr>
          <w:p>
            <w:pPr>
              <w:pStyle w:val="TableContents"/>
              <w:bidi w:val="0"/>
              <w:spacing w:before="0" w:after="283"/>
              <w:jc w:val="left"/>
              <w:rPr/>
            </w:pPr>
            <w:r>
              <w:rPr/>
              <w:t> </w:t>
            </w:r>
          </w:p>
        </w:tc>
        <w:tc>
          <w:tcPr>
            <w:tcW w:w="8403"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shares of Common Stock. We have granted the underwriters the right to purchase, exercisable within a 30-day period, up to an additional shares of Common Stock.</w:t>
            </w:r>
          </w:p>
        </w:tc>
      </w:tr>
      <w:tr>
        <w:trPr/>
        <w:tc>
          <w:tcPr>
            <w:tcW w:w="1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3" w:type="dxa"/>
            <w:tcBorders/>
            <w:vAlign w:val="center"/>
          </w:tcPr>
          <w:p>
            <w:pPr>
              <w:pStyle w:val="TableContents"/>
              <w:bidi w:val="0"/>
              <w:spacing w:before="0" w:after="283"/>
              <w:jc w:val="left"/>
              <w:rPr/>
            </w:pPr>
            <w:r>
              <w:rPr/>
              <w:t> </w:t>
            </w:r>
          </w:p>
        </w:tc>
      </w:tr>
      <w:tr>
        <w:trPr/>
        <w:tc>
          <w:tcPr>
            <w:tcW w:w="17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Offering Price:</w:t>
            </w:r>
          </w:p>
        </w:tc>
        <w:tc>
          <w:tcPr>
            <w:tcW w:w="60" w:type="dxa"/>
            <w:tcBorders/>
            <w:vAlign w:val="center"/>
          </w:tcPr>
          <w:p>
            <w:pPr>
              <w:pStyle w:val="TableContents"/>
              <w:bidi w:val="0"/>
              <w:spacing w:before="0" w:after="283"/>
              <w:jc w:val="left"/>
              <w:rPr/>
            </w:pPr>
            <w:r>
              <w:rPr/>
              <w:t> </w:t>
            </w:r>
          </w:p>
        </w:tc>
        <w:tc>
          <w:tcPr>
            <w:tcW w:w="84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per share of Common Stock.</w:t>
            </w:r>
          </w:p>
        </w:tc>
      </w:tr>
      <w:tr>
        <w:trPr/>
        <w:tc>
          <w:tcPr>
            <w:tcW w:w="1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3" w:type="dxa"/>
            <w:tcBorders/>
            <w:vAlign w:val="center"/>
          </w:tcPr>
          <w:p>
            <w:pPr>
              <w:pStyle w:val="TableContents"/>
              <w:bidi w:val="0"/>
              <w:spacing w:before="0" w:after="283"/>
              <w:jc w:val="left"/>
              <w:rPr/>
            </w:pPr>
            <w:r>
              <w:rPr/>
              <w:t> </w:t>
            </w:r>
          </w:p>
        </w:tc>
      </w:tr>
      <w:tr>
        <w:trPr/>
        <w:tc>
          <w:tcPr>
            <w:tcW w:w="17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to be Outstanding After this Offering:</w:t>
            </w:r>
          </w:p>
        </w:tc>
        <w:tc>
          <w:tcPr>
            <w:tcW w:w="60" w:type="dxa"/>
            <w:tcBorders/>
            <w:vAlign w:val="center"/>
          </w:tcPr>
          <w:p>
            <w:pPr>
              <w:pStyle w:val="TableContents"/>
              <w:bidi w:val="0"/>
              <w:spacing w:before="0" w:after="283"/>
              <w:jc w:val="left"/>
              <w:rPr/>
            </w:pPr>
            <w:r>
              <w:rPr/>
              <w:t> </w:t>
            </w:r>
          </w:p>
        </w:tc>
        <w:tc>
          <w:tcPr>
            <w:tcW w:w="8403"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Times;serif" w:hAnsi="Times New Roman;Times;serif"/>
                <w:caps w:val="false"/>
                <w:smallCaps w:val="false"/>
                <w:sz w:val="20"/>
              </w:rPr>
              <w:t>shares of Common Stock (or        shares of Common Stock if the underwriters fully exercise their option to purchase additional shares of Common Stock).</w:t>
            </w:r>
          </w:p>
        </w:tc>
      </w:tr>
      <w:tr>
        <w:trPr/>
        <w:tc>
          <w:tcPr>
            <w:tcW w:w="1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3" w:type="dxa"/>
            <w:tcBorders/>
            <w:vAlign w:val="center"/>
          </w:tcPr>
          <w:p>
            <w:pPr>
              <w:pStyle w:val="TableContents"/>
              <w:bidi w:val="0"/>
              <w:spacing w:before="0" w:after="283"/>
              <w:jc w:val="left"/>
              <w:rPr/>
            </w:pPr>
            <w:r>
              <w:rPr/>
              <w:t> </w:t>
            </w:r>
          </w:p>
        </w:tc>
      </w:tr>
      <w:tr>
        <w:trPr/>
        <w:tc>
          <w:tcPr>
            <w:tcW w:w="17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 of Proceeds:</w:t>
            </w:r>
          </w:p>
        </w:tc>
        <w:tc>
          <w:tcPr>
            <w:tcW w:w="60" w:type="dxa"/>
            <w:tcBorders/>
            <w:vAlign w:val="center"/>
          </w:tcPr>
          <w:p>
            <w:pPr>
              <w:pStyle w:val="TableContents"/>
              <w:bidi w:val="0"/>
              <w:spacing w:before="0" w:after="283"/>
              <w:jc w:val="left"/>
              <w:rPr/>
            </w:pPr>
            <w:r>
              <w:rPr/>
              <w:t> </w:t>
            </w:r>
          </w:p>
        </w:tc>
        <w:tc>
          <w:tcPr>
            <w:tcW w:w="84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estimate that the net proceeds from this offering will be approximately $ (or approximately $        if the underwriters fully exercise their option to purchase additional shares of Common Stock), after deducting underwriting discounts and commissions. We currently intend to use the net proceeds from this offering for working capital and general corporate purposes to support our growth.. See “</w:t>
            </w:r>
            <w:r>
              <w:rPr>
                <w:rFonts w:ascii="Times New Roman;Times;serif" w:hAnsi="Times New Roman;Times;serif"/>
                <w:i/>
                <w:caps w:val="false"/>
                <w:smallCaps w:val="false"/>
                <w:sz w:val="20"/>
              </w:rPr>
              <w:t>Use of Proceeds</w:t>
            </w:r>
            <w:r>
              <w:rPr>
                <w:rFonts w:ascii="Times New Roman;Times;serif" w:hAnsi="Times New Roman;Times;serif"/>
                <w:caps w:val="false"/>
                <w:smallCaps w:val="false"/>
                <w:sz w:val="20"/>
              </w:rPr>
              <w:t>.”</w:t>
            </w:r>
          </w:p>
        </w:tc>
      </w:tr>
      <w:tr>
        <w:trPr/>
        <w:tc>
          <w:tcPr>
            <w:tcW w:w="1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3" w:type="dxa"/>
            <w:tcBorders/>
            <w:vAlign w:val="center"/>
          </w:tcPr>
          <w:p>
            <w:pPr>
              <w:pStyle w:val="TableContents"/>
              <w:bidi w:val="0"/>
              <w:spacing w:before="0" w:after="283"/>
              <w:jc w:val="left"/>
              <w:rPr/>
            </w:pPr>
            <w:r>
              <w:rPr/>
              <w:t> </w:t>
            </w:r>
          </w:p>
        </w:tc>
      </w:tr>
      <w:tr>
        <w:trPr/>
        <w:tc>
          <w:tcPr>
            <w:tcW w:w="17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60" w:type="dxa"/>
            <w:tcBorders/>
            <w:vAlign w:val="center"/>
          </w:tcPr>
          <w:p>
            <w:pPr>
              <w:pStyle w:val="TableContents"/>
              <w:bidi w:val="0"/>
              <w:spacing w:before="0" w:after="283"/>
              <w:jc w:val="left"/>
              <w:rPr/>
            </w:pPr>
            <w:r>
              <w:rPr/>
              <w:t> </w:t>
            </w:r>
          </w:p>
        </w:tc>
        <w:tc>
          <w:tcPr>
            <w:tcW w:w="84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in our Common Stock involves significant risks. See “</w:t>
            </w:r>
            <w:r>
              <w:rPr>
                <w:rFonts w:ascii="Times New Roman;Times;serif" w:hAnsi="Times New Roman;Times;serif"/>
                <w:i/>
                <w:caps w:val="false"/>
                <w:smallCaps w:val="false"/>
                <w:sz w:val="20"/>
              </w:rPr>
              <w:t>Risk Factors</w:t>
            </w:r>
            <w:r>
              <w:rPr>
                <w:rFonts w:ascii="Times New Roman;Times;serif" w:hAnsi="Times New Roman;Times;serif"/>
                <w:caps w:val="false"/>
                <w:smallCaps w:val="false"/>
                <w:sz w:val="20"/>
              </w:rPr>
              <w:t>” beginning on page S-5 of this Prospectus Supplement, page 3 of the Base Prospectus, and other information included or incorporated by reference into this Prospectus Supplement and the accompanying Base Prospectus for a discussion of factors you should carefully consider before investing in our Common Stock.</w:t>
            </w:r>
          </w:p>
        </w:tc>
      </w:tr>
      <w:tr>
        <w:trPr/>
        <w:tc>
          <w:tcPr>
            <w:tcW w:w="1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3" w:type="dxa"/>
            <w:tcBorders/>
            <w:vAlign w:val="center"/>
          </w:tcPr>
          <w:p>
            <w:pPr>
              <w:pStyle w:val="TableContents"/>
              <w:bidi w:val="0"/>
              <w:spacing w:before="0" w:after="283"/>
              <w:jc w:val="left"/>
              <w:rPr/>
            </w:pPr>
            <w:r>
              <w:rPr/>
              <w:t> </w:t>
            </w:r>
          </w:p>
        </w:tc>
      </w:tr>
      <w:tr>
        <w:trPr/>
        <w:tc>
          <w:tcPr>
            <w:tcW w:w="17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Nasdaq Symbol:</w:t>
            </w:r>
          </w:p>
        </w:tc>
        <w:tc>
          <w:tcPr>
            <w:tcW w:w="60" w:type="dxa"/>
            <w:tcBorders/>
            <w:vAlign w:val="center"/>
          </w:tcPr>
          <w:p>
            <w:pPr>
              <w:pStyle w:val="TableContents"/>
              <w:bidi w:val="0"/>
              <w:spacing w:before="0" w:after="283"/>
              <w:jc w:val="left"/>
              <w:rPr/>
            </w:pPr>
            <w:r>
              <w:rPr/>
              <w:t> </w:t>
            </w:r>
          </w:p>
        </w:tc>
        <w:tc>
          <w:tcPr>
            <w:tcW w:w="84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Common Stock is traded on Nasdaq under the symbol “NRXP.”</w:t>
            </w:r>
          </w:p>
        </w:tc>
      </w:tr>
      <w:tr>
        <w:trPr/>
        <w:tc>
          <w:tcPr>
            <w:tcW w:w="17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3" w:type="dxa"/>
            <w:tcBorders/>
            <w:vAlign w:val="center"/>
          </w:tcPr>
          <w:p>
            <w:pPr>
              <w:pStyle w:val="TableContents"/>
              <w:bidi w:val="0"/>
              <w:spacing w:before="0" w:after="283"/>
              <w:jc w:val="left"/>
              <w:rPr/>
            </w:pPr>
            <w:r>
              <w:rPr/>
              <w:t> </w:t>
            </w:r>
          </w:p>
        </w:tc>
      </w:tr>
      <w:tr>
        <w:trPr/>
        <w:tc>
          <w:tcPr>
            <w:tcW w:w="17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Transfer and Registrar:</w:t>
            </w:r>
          </w:p>
        </w:tc>
        <w:tc>
          <w:tcPr>
            <w:tcW w:w="60" w:type="dxa"/>
            <w:tcBorders/>
            <w:vAlign w:val="center"/>
          </w:tcPr>
          <w:p>
            <w:pPr>
              <w:pStyle w:val="TableContents"/>
              <w:bidi w:val="0"/>
              <w:spacing w:before="0" w:after="283"/>
              <w:jc w:val="left"/>
              <w:rPr/>
            </w:pPr>
            <w:r>
              <w:rPr/>
              <w:t> </w:t>
            </w:r>
          </w:p>
        </w:tc>
        <w:tc>
          <w:tcPr>
            <w:tcW w:w="84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Continental Stock Transfer &amp; Trust Company.</w:t>
            </w:r>
          </w:p>
        </w:tc>
      </w:tr>
    </w:tbl>
    <w:p>
      <w:pPr>
        <w:pStyle w:val="TextBody"/>
        <w:bidi w:val="0"/>
        <w:spacing w:before="0" w:after="0"/>
        <w:ind w:left="0" w:right="0" w:hanging="0"/>
        <w:jc w:val="left"/>
        <w:rPr>
          <w:bdr w:val="single" w:sz="2" w:space="8" w:color="000000"/>
        </w:rPr>
      </w:pPr>
      <w:r>
        <w:rPr>
          <w:bdr w:val="single" w:sz="2" w:space="8" w:color="000000"/>
        </w:rPr>
        <w:t> </w:t>
      </w:r>
    </w:p>
    <w:p>
      <w:pPr>
        <w:pStyle w:val="TextBody"/>
        <w:bidi w:val="0"/>
        <w:spacing w:before="0" w:after="0"/>
        <w:ind w:left="0" w:right="0" w:hanging="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The number of shares of our Common Stock to be outstanding after this offering is based on 36,228,992 shares of Common Stock outstanding as of May 15, 2026. Unless the context otherwise requires, as of May 15, 2026, the number of shares of our Common Stock to be outstanding after this offering excludes:</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687,490 shares of Common Stock issuable upon the exercise of outstanding options at a weighted average exercise price of $8.62 per share;</w:t>
            </w:r>
          </w:p>
        </w:tc>
      </w:tr>
    </w:tbl>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9,359,710 shares of Common Stock issuable upon the exercise of outstanding warrants at a weighted average exercise price of $7.77 per share; and</w:t>
            </w:r>
          </w:p>
        </w:tc>
      </w:tr>
    </w:tbl>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tbl>
      <w:tblPr>
        <w:tblW w:w="5740" w:type="dxa"/>
        <w:jc w:val="left"/>
        <w:tblInd w:w="0" w:type="dxa"/>
        <w:tblLayout w:type="fixed"/>
        <w:tblCellMar>
          <w:top w:w="0" w:type="dxa"/>
          <w:left w:w="0" w:type="dxa"/>
          <w:bottom w:w="0" w:type="dxa"/>
          <w:right w:w="0" w:type="dxa"/>
        </w:tblCellMar>
      </w:tblPr>
      <w:tblGrid>
        <w:gridCol w:w="60"/>
        <w:gridCol w:w="170"/>
        <w:gridCol w:w="5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32,895 shares of Common Stock underlying restricted stock awards.</w:t>
            </w:r>
          </w:p>
        </w:tc>
      </w:tr>
    </w:tbl>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An investment in our common stock involves a high degree of risk. Prior to making a decision about investing in our common stock, you should carefully consider the specific factors discussed below and discussed under the section entitled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contained in our Annual Report on Form 10-K for the fiscal year ended December 31, 2025, as updated by our subsequent filings under the Exchange Act, each of which is incorporated by reference in this Prospectus Supplement, and the accompanying Base Prospectus in their entirety, together with all of the other information contained or incorporated by reference in this Prospectus Supplement, the accompanying Base Prospectus, and the documents incorporated by reference herein and therein.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Our Common Stock and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Management will have broad discretion as to the use of the proceeds from this offering and may not use the proceeds effectively</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not limited in the use of proceeds of shares sold to investors. We may use such proceeds for working capital and general corporate purposes to support our growth or for acquisitions or other strategic investments. We have not allocated such funds to any particular purpose, and our management will have the discretion to allocate the proceeds as it determines. We may not apply the proceeds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you purchase our Common Stock in this offering, you may incur immediate dilution in the book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offering price per share in this offering may exceed the historical and pro forma net tangible book value per share of our common stock outstanding prior to this offering. After giving effect to the sale of       shares of our Common Stock at a price of $        per share in this offering, and after deducting commissions and estimated offering expenses payable by us, you would experience immediate dilution of $        per share, representing the difference between our pro forma net tangible book value per share as of March 31, 2026 and after giving effect to this offering. The exercise of outstanding stock options and warrants or the settlement of outstanding restricted stock awards would result in further dilution of your investment. See the section entitled “</w:t>
      </w:r>
      <w:r>
        <w:rPr>
          <w:rFonts w:ascii="Times New Roman" w:hAnsi="Times New Roman"/>
          <w:i/>
          <w:caps w:val="false"/>
          <w:smallCaps w:val="false"/>
          <w:sz w:val="20"/>
        </w:rPr>
        <w:t>Dilution</w:t>
      </w:r>
      <w:r>
        <w:rPr>
          <w:rFonts w:ascii="Times New Roman" w:hAnsi="Times New Roman"/>
          <w:caps w:val="false"/>
          <w:smallCaps w:val="false"/>
          <w:sz w:val="20"/>
        </w:rPr>
        <w:t>” below for a more detailed illustration of the dilution you may incur if you participate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You may experience future dilution as a result of future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securities analysts do not publish research or reports about us, or if they issue unfavorable commentary about us or our industry or downgrade our Common Stock, the price of our Common Stock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trading market for our Common Stock will depend in part on the research and reports that third-party securities analysts publish about us and the industries in which we operate. We may be unable, or slow, to attract and maintain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Common Stock price may be volatile or may decline regardless of our operating performance. You may lose some or all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trading price of our Common Stock is likely to be volatile. The stock market recently has experienced extreme volatility. This volatility often has been unrelated or disproportionate to the operating performance of particular companies. You may not be able to resell your shares at an attractive price due to a number of factors such as those listed in “</w:t>
      </w:r>
      <w:r>
        <w:rPr>
          <w:rFonts w:ascii="Times New Roman" w:hAnsi="Times New Roman"/>
          <w:i/>
          <w:caps w:val="false"/>
          <w:smallCaps w:val="false"/>
          <w:sz w:val="20"/>
        </w:rPr>
        <w:t>Risks Related to Our Business and Industry</w:t>
      </w:r>
      <w:r>
        <w:rPr>
          <w:rFonts w:ascii="Times New Roman" w:hAnsi="Times New Roman"/>
          <w:caps w:val="false"/>
          <w:smallCaps w:val="false"/>
          <w:sz w:val="20"/>
        </w:rPr>
        <w:t>” in our Annual Report on Form 10-K for the fiscal year ended December 31, 2025, and the following:</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60"/>
        <w:gridCol w:w="170"/>
        <w:gridCol w:w="4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operating and financial performance and prospects;</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quarterly or annual earnings or those of other companies in our industry compared to market expectations;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60"/>
        <w:gridCol w:w="170"/>
        <w:gridCol w:w="3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that impact demand for our products;</w:t>
            </w:r>
          </w:p>
        </w:tc>
      </w:tr>
    </w:tbl>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60"/>
        <w:gridCol w:w="170"/>
        <w:gridCol w:w="88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future announcements concerning our business, our product users’ businesses or our competitors’ businesses;</w:t>
            </w:r>
          </w:p>
        </w:tc>
      </w:tr>
    </w:tbl>
    <w:p>
      <w:pPr>
        <w:pStyle w:val="TextBody"/>
        <w:bidi w:val="0"/>
        <w:spacing w:before="0" w:after="0"/>
        <w:ind w:left="0" w:right="0" w:hanging="0"/>
        <w:jc w:val="left"/>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60"/>
        <w:gridCol w:w="170"/>
        <w:gridCol w:w="7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 public’s reaction to our press releases, other public announcements and filings with the SEC;</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
        <w:gridCol w:w="170"/>
        <w:gridCol w:w="2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size of our public float;</w:t>
            </w:r>
          </w:p>
        </w:tc>
      </w:tr>
    </w:tbl>
    <w:p>
      <w:pPr>
        <w:pStyle w:val="TextBody"/>
        <w:bidi w:val="0"/>
        <w:spacing w:before="0" w:after="0"/>
        <w:ind w:left="0" w:right="0" w:hanging="0"/>
        <w:jc w:val="left"/>
        <w:rPr>
          <w:caps w:val="false"/>
          <w:smallCaps w:val="false"/>
        </w:rPr>
      </w:pPr>
      <w:r>
        <w:rPr>
          <w:caps w:val="false"/>
          <w:smallCaps w:val="false"/>
        </w:rPr>
        <w:t> </w:t>
      </w:r>
    </w:p>
    <w:tbl>
      <w:tblPr>
        <w:tblW w:w="8680" w:type="dxa"/>
        <w:jc w:val="left"/>
        <w:tblInd w:w="0" w:type="dxa"/>
        <w:tblLayout w:type="fixed"/>
        <w:tblCellMar>
          <w:top w:w="0" w:type="dxa"/>
          <w:left w:w="0" w:type="dxa"/>
          <w:bottom w:w="0" w:type="dxa"/>
          <w:right w:w="0" w:type="dxa"/>
        </w:tblCellMar>
      </w:tblPr>
      <w:tblGrid>
        <w:gridCol w:w="60"/>
        <w:gridCol w:w="170"/>
        <w:gridCol w:w="84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coverage by or changes in financial estimates by securities analysts or failure to meet their expectations;</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60"/>
        <w:gridCol w:w="170"/>
        <w:gridCol w:w="7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 and industry perception of our success, or lack thereof, in pursuing our growth strategy;</w:t>
            </w:r>
          </w:p>
        </w:tc>
      </w:tr>
    </w:tbl>
    <w:p>
      <w:pPr>
        <w:pStyle w:val="TextBody"/>
        <w:bidi w:val="0"/>
        <w:spacing w:before="0" w:after="0"/>
        <w:ind w:left="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60"/>
        <w:gridCol w:w="170"/>
        <w:gridCol w:w="6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strategic actions by us or our competitors, such as acquisitions or restructurings;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laws or regulations which adversely affect our industry or us; changes in accounting standards, policies, guidance, interpretations or principles; changes in senior management or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60"/>
        <w:gridCol w:w="170"/>
        <w:gridCol w:w="7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issuances, exchanges or sales, or expected issuances, exchanges or sales of our capital stock;</w:t>
            </w:r>
          </w:p>
        </w:tc>
      </w:tr>
    </w:tbl>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60"/>
        <w:gridCol w:w="170"/>
        <w:gridCol w:w="7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our dividend policy; adverse resolution of new or pending litigation against 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general market, economic and political conditions in the U.S. and global economies or financial markets, including those resulting from natural disasters, terrorist attacks, acts of war and responses to such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Securities litigation could have a substantial cost and divert resources and the attention of executive management from our business regardless of the outcome of such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market price of our Common Stock may be volatile, which could subject us to securities class action litigation and result in substantial losses for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market price of shares of our Common Stock could be subject to wide fluctuations in response to many risk factors listed in this section and the documents incorporated by reference in this Prospectus Supplement and the accompanying Base Prospectus as well as other factors others beyond our control. 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common stock. In addition, such fluctuations could subject us to securities class action litigation, which could result in substantial costs and divert our management’s attention from other business concerns, which could potentially harm our business. As a result of this volatility, our stockholders may not be able to sell their shares of our Common Stock at or above the price at which they purchased their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do not intend to pay cash dividends on our Common Stock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and will depend on, among other things, our business prospects, results of operations, financial condition, cash requirements and availability, legal requirements, certain restrictions related to our indebtedness, industry trends and other factors that our Board may deem relevant. Any such decision will also be subject to compliance with contractual restrictions and covenants in the agreements governing our current and future indebtedness. In addition, we may incur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particularly when others in our industry have elected to do so, could also adversely affect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estimate that the net proceeds we receive from this offering will be approximately $         (or approximately $        if the underwriters fully exercise their option to purchase additional shares of Common Stock) after deducting the underwriting discounts and commissions.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intend to use the net proceeds from this offering for working capital and general corporate purposes to support our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management retains broad discretion regarding the use of the net proceeds from this offering, including discretion over the amounts and timing of any actual expenditures. Pending our use of the net proceeds from this offering, we intend to invest the net proceeds in marketable securities that may include investment-grade interest-bearing securities, money market accounts, certificates of deposit, commercial paper and guaranteed obligations of the U.S. government in accordance with our investment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net tangible book value as of March 31, 2026 was approximately $(16,488,000), or $(0.46) per share. Our net tangible book value as of March 31, 2026 is determined by dividing our total tangible assets, less total liabilities, by the number of shares of our common stock outstanding as of March 31, 2026. Dilution with respect to pro forma net tangible book value per share represents the difference between the amount per share paid by purchasers of shares of common stock in this offering and the pro forma net tangible book value per share of our common stock immediately after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giving effect to the sale of       shares of our Common Stock in this offering at an offering price of $ per share, and after deducting estimated offering commissions and offering expenses payable by us, our pro forma net tangible book value as of March 31, 2026 would have been approximately $       million or $       per share. This represents an immediate increase in net tangible book value of $        per share to existing stockholders and immediate dilution of $ per share to investors purchasing our Common Stock in this offering at the public offering price. The following table illustrates this dilution on a per share basis:</w:t>
      </w:r>
    </w:p>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6050"/>
        <w:gridCol w:w="60"/>
        <w:gridCol w:w="125"/>
        <w:gridCol w:w="440"/>
        <w:gridCol w:w="80"/>
        <w:gridCol w:w="60"/>
        <w:gridCol w:w="125"/>
        <w:gridCol w:w="60"/>
        <w:gridCol w:w="60"/>
      </w:tblGrid>
      <w:tr>
        <w:trPr/>
        <w:tc>
          <w:tcPr>
            <w:tcW w:w="60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Public offering price per share of Common Stock</w:t>
            </w:r>
            <w:bookmarkStart w:id="2" w:name=".lead.B2"/>
            <w:bookmarkEnd w:id="2"/>
          </w:p>
        </w:tc>
        <w:tc>
          <w:tcPr>
            <w:tcW w:w="60" w:type="dxa"/>
            <w:tcBorders/>
            <w:shd w:fill="CCEEFF" w:val="clear"/>
            <w:vAlign w:val="center"/>
          </w:tcPr>
          <w:p>
            <w:pPr>
              <w:pStyle w:val="TableContents"/>
              <w:bidi w:val="0"/>
              <w:spacing w:before="0" w:after="283"/>
              <w:jc w:val="left"/>
              <w:rPr/>
            </w:pPr>
            <w:r>
              <w:rPr/>
              <w:t> </w:t>
            </w:r>
            <w:bookmarkStart w:id="3" w:name=".symb.B2"/>
            <w:bookmarkEnd w:id="3"/>
          </w:p>
        </w:tc>
        <w:tc>
          <w:tcPr>
            <w:tcW w:w="125" w:type="dxa"/>
            <w:tcBorders/>
            <w:shd w:fill="CCEEFF" w:val="clear"/>
            <w:vAlign w:val="center"/>
          </w:tcPr>
          <w:p>
            <w:pPr>
              <w:pStyle w:val="TableContents"/>
              <w:bidi w:val="0"/>
              <w:spacing w:before="0" w:after="283"/>
              <w:jc w:val="left"/>
              <w:rPr/>
            </w:pPr>
            <w:r>
              <w:rPr/>
              <w:t> </w:t>
            </w:r>
            <w:bookmarkStart w:id="4" w:name=".amt.B2"/>
            <w:bookmarkEnd w:id="4"/>
          </w:p>
        </w:tc>
        <w:tc>
          <w:tcPr>
            <w:tcW w:w="440" w:type="dxa"/>
            <w:tcBorders/>
            <w:shd w:fill="CCEEFF" w:val="clear"/>
            <w:vAlign w:val="center"/>
          </w:tcPr>
          <w:p>
            <w:pPr>
              <w:pStyle w:val="TableContents"/>
              <w:bidi w:val="0"/>
              <w:spacing w:before="0" w:after="283"/>
              <w:jc w:val="right"/>
              <w:rPr/>
            </w:pPr>
            <w:r>
              <w:rPr/>
              <w:t> </w:t>
            </w:r>
            <w:bookmarkStart w:id="5" w:name=".trail.B2"/>
            <w:bookmarkEnd w:id="5"/>
          </w:p>
        </w:tc>
        <w:tc>
          <w:tcPr>
            <w:tcW w:w="80" w:type="dxa"/>
            <w:tcBorders/>
            <w:shd w:fill="CCEEFF" w:val="clear"/>
            <w:vAlign w:val="center"/>
          </w:tcPr>
          <w:p>
            <w:pPr>
              <w:pStyle w:val="TableContents"/>
              <w:bidi w:val="0"/>
              <w:spacing w:before="0" w:after="283"/>
              <w:jc w:val="left"/>
              <w:rPr/>
            </w:pPr>
            <w:r>
              <w:rPr/>
              <w:t> </w:t>
            </w:r>
            <w:bookmarkStart w:id="6" w:name=".lead.3"/>
            <w:bookmarkEnd w:id="6"/>
          </w:p>
        </w:tc>
        <w:tc>
          <w:tcPr>
            <w:tcW w:w="60" w:type="dxa"/>
            <w:tcBorders/>
            <w:shd w:fill="CCEEFF" w:val="clear"/>
            <w:vAlign w:val="center"/>
          </w:tcPr>
          <w:p>
            <w:pPr>
              <w:pStyle w:val="TableContents"/>
              <w:bidi w:val="0"/>
              <w:spacing w:before="0" w:after="283"/>
              <w:ind w:left="0" w:right="0" w:hanging="0"/>
              <w:jc w:val="left"/>
              <w:rPr/>
            </w:pPr>
            <w:r>
              <w:rPr/>
              <w:t> </w:t>
            </w:r>
            <w:bookmarkStart w:id="7" w:name=".symb.3"/>
            <w:bookmarkEnd w:id="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 w:name=".amt.3"/>
            <w:bookmarkEnd w:id="8"/>
          </w:p>
        </w:tc>
        <w:tc>
          <w:tcPr>
            <w:tcW w:w="60" w:type="dxa"/>
            <w:tcBorders/>
            <w:shd w:fill="CCEEFF" w:val="clear"/>
            <w:vAlign w:val="center"/>
          </w:tcPr>
          <w:p>
            <w:pPr>
              <w:pStyle w:val="TableContents"/>
              <w:bidi w:val="0"/>
              <w:spacing w:before="0" w:after="283"/>
              <w:ind w:left="0" w:right="0" w:hanging="0"/>
              <w:jc w:val="right"/>
              <w:rPr/>
            </w:pPr>
            <w:r>
              <w:rPr/>
              <w:t> </w:t>
            </w:r>
            <w:bookmarkStart w:id="9" w:name=".trail.3"/>
            <w:bookmarkEnd w:id="9"/>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05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tangible book value per share as of March 31, 2026</w:t>
            </w:r>
            <w:bookmarkStart w:id="10" w:name=".lead.2"/>
            <w:bookmarkEnd w:id="10"/>
          </w:p>
        </w:tc>
        <w:tc>
          <w:tcPr>
            <w:tcW w:w="60" w:type="dxa"/>
            <w:tcBorders/>
            <w:shd w:fill="FFFFFF" w:val="clear"/>
            <w:vAlign w:val="center"/>
          </w:tcPr>
          <w:p>
            <w:pPr>
              <w:pStyle w:val="TableContents"/>
              <w:bidi w:val="0"/>
              <w:spacing w:before="0" w:after="283"/>
              <w:ind w:left="0" w:right="0" w:hanging="0"/>
              <w:jc w:val="left"/>
              <w:rPr/>
            </w:pPr>
            <w:r>
              <w:rPr/>
              <w:t> </w:t>
            </w:r>
            <w:bookmarkStart w:id="11" w:name=".symb.2"/>
            <w:bookmarkEnd w:id="1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 w:name=".amt.2"/>
            <w:bookmarkEnd w:id="12"/>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(0.46</w:t>
            </w:r>
            <w:bookmarkStart w:id="13" w:name=".trail.2"/>
            <w:bookmarkEnd w:id="1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4" w:name=".lead.B3"/>
            <w:bookmarkEnd w:id="14"/>
          </w:p>
        </w:tc>
        <w:tc>
          <w:tcPr>
            <w:tcW w:w="60" w:type="dxa"/>
            <w:tcBorders/>
            <w:shd w:fill="FFFFFF" w:val="clear"/>
            <w:vAlign w:val="center"/>
          </w:tcPr>
          <w:p>
            <w:pPr>
              <w:pStyle w:val="TableContents"/>
              <w:bidi w:val="0"/>
              <w:spacing w:before="0" w:after="283"/>
              <w:jc w:val="left"/>
              <w:rPr/>
            </w:pPr>
            <w:r>
              <w:rPr/>
              <w:t> </w:t>
            </w:r>
            <w:bookmarkStart w:id="15" w:name=".symb.B3"/>
            <w:bookmarkEnd w:id="15"/>
          </w:p>
        </w:tc>
        <w:tc>
          <w:tcPr>
            <w:tcW w:w="125" w:type="dxa"/>
            <w:tcBorders/>
            <w:shd w:fill="FFFFFF" w:val="clear"/>
            <w:vAlign w:val="center"/>
          </w:tcPr>
          <w:p>
            <w:pPr>
              <w:pStyle w:val="TableContents"/>
              <w:bidi w:val="0"/>
              <w:spacing w:before="0" w:after="283"/>
              <w:jc w:val="left"/>
              <w:rPr/>
            </w:pPr>
            <w:r>
              <w:rPr/>
              <w:t> </w:t>
            </w:r>
            <w:bookmarkStart w:id="16" w:name=".amt.B3"/>
            <w:bookmarkEnd w:id="16"/>
          </w:p>
        </w:tc>
        <w:tc>
          <w:tcPr>
            <w:tcW w:w="60" w:type="dxa"/>
            <w:tcBorders/>
            <w:shd w:fill="FFFFFF" w:val="clear"/>
            <w:vAlign w:val="center"/>
          </w:tcPr>
          <w:p>
            <w:pPr>
              <w:pStyle w:val="TableContents"/>
              <w:bidi w:val="0"/>
              <w:spacing w:before="0" w:after="283"/>
              <w:jc w:val="right"/>
              <w:rPr/>
            </w:pPr>
            <w:r>
              <w:rPr/>
              <w:t> </w:t>
            </w:r>
            <w:bookmarkStart w:id="17" w:name=".trail.B3"/>
            <w:bookmarkEnd w:id="17"/>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605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in net tangible book value per share attributable to this offering</w:t>
            </w:r>
            <w:bookmarkStart w:id="18" w:name=".lead.21"/>
            <w:bookmarkStart w:id="19" w:name=".lead.22"/>
            <w:bookmarkEnd w:id="18"/>
            <w:bookmarkEnd w:id="19"/>
          </w:p>
        </w:tc>
        <w:tc>
          <w:tcPr>
            <w:tcW w:w="60" w:type="dxa"/>
            <w:tcBorders/>
            <w:shd w:fill="CCEEFF" w:val="clear"/>
            <w:vAlign w:val="center"/>
          </w:tcPr>
          <w:p>
            <w:pPr>
              <w:pStyle w:val="TableContents"/>
              <w:bidi w:val="0"/>
              <w:spacing w:before="0" w:after="283"/>
              <w:ind w:left="0" w:right="0" w:hanging="0"/>
              <w:jc w:val="left"/>
              <w:rPr/>
            </w:pPr>
            <w:r>
              <w:rPr/>
              <w:t> </w:t>
            </w:r>
            <w:bookmarkStart w:id="20" w:name=".symb.21"/>
            <w:bookmarkStart w:id="21" w:name=".symb.22"/>
            <w:bookmarkEnd w:id="20"/>
            <w:bookmarkEnd w:id="2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 w:name=".amt.21"/>
            <w:bookmarkStart w:id="23" w:name=".amt.22"/>
            <w:bookmarkEnd w:id="22"/>
            <w:bookmarkEnd w:id="23"/>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 </w:t>
            </w:r>
            <w:bookmarkStart w:id="24" w:name=".trail.21"/>
            <w:bookmarkStart w:id="25" w:name=".trail.22"/>
            <w:bookmarkEnd w:id="24"/>
            <w:bookmarkEnd w:id="25"/>
          </w:p>
        </w:tc>
        <w:tc>
          <w:tcPr>
            <w:tcW w:w="80" w:type="dxa"/>
            <w:tcBorders/>
            <w:shd w:fill="CCEEFF" w:val="clear"/>
            <w:vAlign w:val="center"/>
          </w:tcPr>
          <w:p>
            <w:pPr>
              <w:pStyle w:val="TableContents"/>
              <w:bidi w:val="0"/>
              <w:spacing w:before="0" w:after="283"/>
              <w:jc w:val="left"/>
              <w:rPr/>
            </w:pPr>
            <w:r>
              <w:rPr/>
              <w:t> </w:t>
            </w:r>
            <w:bookmarkStart w:id="26" w:name=".lead.B31"/>
            <w:bookmarkStart w:id="27" w:name=".lead.B32"/>
            <w:bookmarkEnd w:id="26"/>
            <w:bookmarkEnd w:id="27"/>
          </w:p>
        </w:tc>
        <w:tc>
          <w:tcPr>
            <w:tcW w:w="60" w:type="dxa"/>
            <w:tcBorders/>
            <w:shd w:fill="CCEEFF" w:val="clear"/>
            <w:vAlign w:val="center"/>
          </w:tcPr>
          <w:p>
            <w:pPr>
              <w:pStyle w:val="TableContents"/>
              <w:bidi w:val="0"/>
              <w:spacing w:before="0" w:after="283"/>
              <w:jc w:val="left"/>
              <w:rPr/>
            </w:pPr>
            <w:r>
              <w:rPr/>
              <w:t> </w:t>
            </w:r>
            <w:bookmarkStart w:id="28" w:name=".symb.B31"/>
            <w:bookmarkStart w:id="29" w:name=".symb.B32"/>
            <w:bookmarkEnd w:id="28"/>
            <w:bookmarkEnd w:id="29"/>
          </w:p>
        </w:tc>
        <w:tc>
          <w:tcPr>
            <w:tcW w:w="125" w:type="dxa"/>
            <w:tcBorders/>
            <w:shd w:fill="CCEEFF" w:val="clear"/>
            <w:vAlign w:val="center"/>
          </w:tcPr>
          <w:p>
            <w:pPr>
              <w:pStyle w:val="TableContents"/>
              <w:bidi w:val="0"/>
              <w:spacing w:before="0" w:after="283"/>
              <w:jc w:val="left"/>
              <w:rPr/>
            </w:pPr>
            <w:r>
              <w:rPr/>
              <w:t> </w:t>
            </w:r>
            <w:bookmarkStart w:id="30" w:name=".amt.B31"/>
            <w:bookmarkStart w:id="31" w:name=".amt.B32"/>
            <w:bookmarkEnd w:id="30"/>
            <w:bookmarkEnd w:id="31"/>
          </w:p>
        </w:tc>
        <w:tc>
          <w:tcPr>
            <w:tcW w:w="60" w:type="dxa"/>
            <w:tcBorders/>
            <w:shd w:fill="CCEEFF" w:val="clear"/>
            <w:vAlign w:val="center"/>
          </w:tcPr>
          <w:p>
            <w:pPr>
              <w:pStyle w:val="TableContents"/>
              <w:bidi w:val="0"/>
              <w:spacing w:before="0" w:after="283"/>
              <w:jc w:val="right"/>
              <w:rPr/>
            </w:pPr>
            <w:r>
              <w:rPr/>
              <w:t> </w:t>
            </w:r>
            <w:bookmarkStart w:id="32" w:name=".trail.B31"/>
            <w:bookmarkStart w:id="33" w:name=".trail.B32"/>
            <w:bookmarkEnd w:id="32"/>
            <w:bookmarkEnd w:id="33"/>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60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 forma net tangible book value per share after this offering</w:t>
            </w:r>
            <w:bookmarkStart w:id="34" w:name=".lead.B21"/>
            <w:bookmarkStart w:id="35" w:name=".lead.B22"/>
            <w:bookmarkEnd w:id="34"/>
            <w:bookmarkEnd w:id="35"/>
          </w:p>
        </w:tc>
        <w:tc>
          <w:tcPr>
            <w:tcW w:w="60" w:type="dxa"/>
            <w:tcBorders/>
            <w:shd w:fill="FFFFFF" w:val="clear"/>
            <w:vAlign w:val="center"/>
          </w:tcPr>
          <w:p>
            <w:pPr>
              <w:pStyle w:val="TableContents"/>
              <w:bidi w:val="0"/>
              <w:spacing w:before="0" w:after="283"/>
              <w:jc w:val="left"/>
              <w:rPr/>
            </w:pPr>
            <w:r>
              <w:rPr/>
              <w:t> </w:t>
            </w:r>
            <w:bookmarkStart w:id="36" w:name=".symb.B21"/>
            <w:bookmarkStart w:id="37" w:name=".symb.B22"/>
            <w:bookmarkEnd w:id="36"/>
            <w:bookmarkEnd w:id="37"/>
          </w:p>
        </w:tc>
        <w:tc>
          <w:tcPr>
            <w:tcW w:w="125" w:type="dxa"/>
            <w:tcBorders/>
            <w:shd w:fill="FFFFFF" w:val="clear"/>
            <w:vAlign w:val="center"/>
          </w:tcPr>
          <w:p>
            <w:pPr>
              <w:pStyle w:val="TableContents"/>
              <w:bidi w:val="0"/>
              <w:spacing w:before="0" w:after="283"/>
              <w:jc w:val="left"/>
              <w:rPr/>
            </w:pPr>
            <w:r>
              <w:rPr/>
              <w:t> </w:t>
            </w:r>
            <w:bookmarkStart w:id="38" w:name=".amt.B21"/>
            <w:bookmarkStart w:id="39" w:name=".amt.B22"/>
            <w:bookmarkEnd w:id="38"/>
            <w:bookmarkEnd w:id="39"/>
          </w:p>
        </w:tc>
        <w:tc>
          <w:tcPr>
            <w:tcW w:w="440" w:type="dxa"/>
            <w:tcBorders/>
            <w:shd w:fill="FFFFFF" w:val="clear"/>
            <w:vAlign w:val="center"/>
          </w:tcPr>
          <w:p>
            <w:pPr>
              <w:pStyle w:val="TableContents"/>
              <w:bidi w:val="0"/>
              <w:spacing w:before="0" w:after="283"/>
              <w:jc w:val="right"/>
              <w:rPr/>
            </w:pPr>
            <w:r>
              <w:rPr/>
              <w:t> </w:t>
            </w:r>
            <w:bookmarkStart w:id="40" w:name=".trail.B21"/>
            <w:bookmarkStart w:id="41" w:name=".trail.B22"/>
            <w:bookmarkEnd w:id="40"/>
            <w:bookmarkEnd w:id="41"/>
          </w:p>
        </w:tc>
        <w:tc>
          <w:tcPr>
            <w:tcW w:w="80" w:type="dxa"/>
            <w:tcBorders/>
            <w:shd w:fill="FFFFFF" w:val="clear"/>
            <w:vAlign w:val="center"/>
          </w:tcPr>
          <w:p>
            <w:pPr>
              <w:pStyle w:val="TableContents"/>
              <w:bidi w:val="0"/>
              <w:spacing w:before="0" w:after="283"/>
              <w:jc w:val="left"/>
              <w:rPr/>
            </w:pPr>
            <w:r>
              <w:rPr/>
              <w:t> </w:t>
            </w:r>
            <w:bookmarkStart w:id="42" w:name=".lead.31"/>
            <w:bookmarkStart w:id="43" w:name=".lead.32"/>
            <w:bookmarkEnd w:id="42"/>
            <w:bookmarkEnd w:id="43"/>
          </w:p>
        </w:tc>
        <w:tc>
          <w:tcPr>
            <w:tcW w:w="60" w:type="dxa"/>
            <w:tcBorders/>
            <w:shd w:fill="FFFFFF" w:val="clear"/>
            <w:vAlign w:val="center"/>
          </w:tcPr>
          <w:p>
            <w:pPr>
              <w:pStyle w:val="TableContents"/>
              <w:bidi w:val="0"/>
              <w:spacing w:before="0" w:after="283"/>
              <w:ind w:left="0" w:right="0" w:hanging="0"/>
              <w:jc w:val="left"/>
              <w:rPr/>
            </w:pPr>
            <w:r>
              <w:rPr/>
              <w:t> </w:t>
            </w:r>
            <w:bookmarkStart w:id="44" w:name=".symb.31"/>
            <w:bookmarkStart w:id="45" w:name=".symb.32"/>
            <w:bookmarkEnd w:id="44"/>
            <w:bookmarkEnd w:id="4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 w:name=".amt.31"/>
            <w:bookmarkStart w:id="47" w:name=".amt.32"/>
            <w:bookmarkEnd w:id="46"/>
            <w:bookmarkEnd w:id="47"/>
          </w:p>
        </w:tc>
        <w:tc>
          <w:tcPr>
            <w:tcW w:w="60" w:type="dxa"/>
            <w:tcBorders/>
            <w:shd w:fill="FFFFFF" w:val="clear"/>
            <w:vAlign w:val="center"/>
          </w:tcPr>
          <w:p>
            <w:pPr>
              <w:pStyle w:val="TableContents"/>
              <w:bidi w:val="0"/>
              <w:spacing w:before="0" w:after="283"/>
              <w:ind w:left="0" w:right="0" w:hanging="0"/>
              <w:jc w:val="right"/>
              <w:rPr/>
            </w:pPr>
            <w:r>
              <w:rPr/>
              <w:t> </w:t>
            </w:r>
            <w:bookmarkStart w:id="48" w:name=".trail.31"/>
            <w:bookmarkStart w:id="49" w:name=".trail.32"/>
            <w:bookmarkEnd w:id="48"/>
            <w:bookmarkEnd w:id="49"/>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60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Dilution per share to new investors purchasing in this offering</w:t>
            </w:r>
            <w:bookmarkStart w:id="50" w:name=".lead.B23"/>
            <w:bookmarkStart w:id="51" w:name=".lead.B24"/>
            <w:bookmarkEnd w:id="50"/>
            <w:bookmarkEnd w:id="51"/>
          </w:p>
        </w:tc>
        <w:tc>
          <w:tcPr>
            <w:tcW w:w="60" w:type="dxa"/>
            <w:tcBorders/>
            <w:shd w:fill="CCEEFF" w:val="clear"/>
            <w:vAlign w:val="center"/>
          </w:tcPr>
          <w:p>
            <w:pPr>
              <w:pStyle w:val="TableContents"/>
              <w:bidi w:val="0"/>
              <w:spacing w:before="0" w:after="283"/>
              <w:jc w:val="left"/>
              <w:rPr/>
            </w:pPr>
            <w:r>
              <w:rPr/>
              <w:t> </w:t>
            </w:r>
            <w:bookmarkStart w:id="52" w:name=".symb.B23"/>
            <w:bookmarkStart w:id="53" w:name=".symb.B24"/>
            <w:bookmarkEnd w:id="52"/>
            <w:bookmarkEnd w:id="53"/>
          </w:p>
        </w:tc>
        <w:tc>
          <w:tcPr>
            <w:tcW w:w="125" w:type="dxa"/>
            <w:tcBorders/>
            <w:shd w:fill="CCEEFF" w:val="clear"/>
            <w:vAlign w:val="center"/>
          </w:tcPr>
          <w:p>
            <w:pPr>
              <w:pStyle w:val="TableContents"/>
              <w:bidi w:val="0"/>
              <w:spacing w:before="0" w:after="283"/>
              <w:jc w:val="left"/>
              <w:rPr/>
            </w:pPr>
            <w:r>
              <w:rPr/>
              <w:t> </w:t>
            </w:r>
            <w:bookmarkStart w:id="54" w:name=".amt.B23"/>
            <w:bookmarkStart w:id="55" w:name=".amt.B24"/>
            <w:bookmarkEnd w:id="54"/>
            <w:bookmarkEnd w:id="55"/>
          </w:p>
        </w:tc>
        <w:tc>
          <w:tcPr>
            <w:tcW w:w="440" w:type="dxa"/>
            <w:tcBorders/>
            <w:shd w:fill="CCEEFF" w:val="clear"/>
            <w:vAlign w:val="center"/>
          </w:tcPr>
          <w:p>
            <w:pPr>
              <w:pStyle w:val="TableContents"/>
              <w:bidi w:val="0"/>
              <w:spacing w:before="0" w:after="283"/>
              <w:jc w:val="right"/>
              <w:rPr/>
            </w:pPr>
            <w:r>
              <w:rPr/>
              <w:t> </w:t>
            </w:r>
            <w:bookmarkStart w:id="56" w:name=".trail.B23"/>
            <w:bookmarkStart w:id="57" w:name=".trail.B24"/>
            <w:bookmarkEnd w:id="56"/>
            <w:bookmarkEnd w:id="57"/>
          </w:p>
        </w:tc>
        <w:tc>
          <w:tcPr>
            <w:tcW w:w="80" w:type="dxa"/>
            <w:tcBorders/>
            <w:shd w:fill="CCEEFF" w:val="clear"/>
            <w:vAlign w:val="center"/>
          </w:tcPr>
          <w:p>
            <w:pPr>
              <w:pStyle w:val="TableContents"/>
              <w:bidi w:val="0"/>
              <w:spacing w:before="0" w:after="283"/>
              <w:jc w:val="left"/>
              <w:rPr/>
            </w:pPr>
            <w:r>
              <w:rPr/>
              <w:t> </w:t>
            </w:r>
            <w:bookmarkStart w:id="58" w:name=".lead.33"/>
            <w:bookmarkStart w:id="59" w:name=".lead.34"/>
            <w:bookmarkEnd w:id="58"/>
            <w:bookmarkEnd w:id="59"/>
          </w:p>
        </w:tc>
        <w:tc>
          <w:tcPr>
            <w:tcW w:w="60" w:type="dxa"/>
            <w:tcBorders/>
            <w:shd w:fill="CCEEFF" w:val="clear"/>
            <w:vAlign w:val="center"/>
          </w:tcPr>
          <w:p>
            <w:pPr>
              <w:pStyle w:val="TableContents"/>
              <w:bidi w:val="0"/>
              <w:spacing w:before="0" w:after="283"/>
              <w:ind w:left="0" w:right="0" w:hanging="0"/>
              <w:jc w:val="left"/>
              <w:rPr/>
            </w:pPr>
            <w:r>
              <w:rPr/>
              <w:t> </w:t>
            </w:r>
            <w:bookmarkStart w:id="60" w:name=".symb.33"/>
            <w:bookmarkStart w:id="61" w:name=".symb.34"/>
            <w:bookmarkEnd w:id="60"/>
            <w:bookmarkEnd w:id="6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 w:name=".amt.33"/>
            <w:bookmarkStart w:id="63" w:name=".amt.34"/>
            <w:bookmarkEnd w:id="62"/>
            <w:bookmarkEnd w:id="63"/>
          </w:p>
        </w:tc>
        <w:tc>
          <w:tcPr>
            <w:tcW w:w="60" w:type="dxa"/>
            <w:tcBorders/>
            <w:shd w:fill="CCEEFF" w:val="clear"/>
            <w:vAlign w:val="center"/>
          </w:tcPr>
          <w:p>
            <w:pPr>
              <w:pStyle w:val="TableContents"/>
              <w:bidi w:val="0"/>
              <w:spacing w:before="0" w:after="283"/>
              <w:ind w:left="0" w:right="0" w:hanging="0"/>
              <w:jc w:val="right"/>
              <w:rPr/>
            </w:pPr>
            <w:r>
              <w:rPr/>
              <w:t> </w:t>
            </w:r>
            <w:bookmarkStart w:id="64" w:name=".trail.33"/>
            <w:bookmarkStart w:id="65" w:name=".trail.34"/>
            <w:bookmarkEnd w:id="64"/>
            <w:bookmarkEnd w:id="65"/>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above discussion and table are based on 36,228,992 shares of Common Stock outstanding as of March 31, 2026, and excludes: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687,490 shares of Common Stock issuable upon the exercise of outstanding options at a weighted average exercise price of $8.62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9,359,710 shares of Common Stock issuable upon the exercise of outstanding warrants at a weighted average exercise price of $7.77 per share; and</w:t>
            </w:r>
          </w:p>
        </w:tc>
      </w:tr>
    </w:tbl>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60"/>
        <w:gridCol w:w="170"/>
        <w:gridCol w:w="55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32,895 shares of Common Stock underlying restricted stock 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entered into an underwriting agreement with BTIG, LLC, as representative of the several underwriters (the “Representative”). Subject to the terms and conditions of the underwriting agreement, we have agreed to sell to the underwriters, and the each underwriter has severally agreed to purchase from us, the number of shares of our Common Stock set forth opposite its name below, pursuant to the terms and conditions contained in the underwriting agreement.</w:t>
      </w:r>
    </w:p>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2315"/>
        <w:gridCol w:w="60"/>
        <w:gridCol w:w="460"/>
        <w:gridCol w:w="460"/>
        <w:gridCol w:w="60"/>
      </w:tblGrid>
      <w:tr>
        <w:trPr/>
        <w:tc>
          <w:tcPr>
            <w:tcW w:w="23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bookmarkStart w:id="66" w:name=".lead.D2"/>
            <w:bookmarkEnd w:id="66"/>
          </w:p>
        </w:tc>
        <w:tc>
          <w:tcPr>
            <w:tcW w:w="60" w:type="dxa"/>
            <w:tcBorders/>
            <w:vAlign w:val="center"/>
          </w:tcPr>
          <w:p>
            <w:pPr>
              <w:pStyle w:val="TableContents"/>
              <w:bidi w:val="0"/>
              <w:spacing w:before="0" w:after="283"/>
              <w:ind w:left="0" w:right="0" w:hanging="0"/>
              <w:jc w:val="left"/>
              <w:rPr/>
            </w:pPr>
            <w:r>
              <w:rPr/>
              <w:t> </w:t>
            </w:r>
            <w:bookmarkStart w:id="67" w:name=".amt.D2"/>
            <w:bookmarkEnd w:id="67"/>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Shares</w:t>
            </w:r>
            <w:bookmarkStart w:id="68" w:name=".trail.D2"/>
            <w:bookmarkEnd w:id="68"/>
          </w:p>
        </w:tc>
        <w:tc>
          <w:tcPr>
            <w:tcW w:w="6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BTIG, LLC</w:t>
            </w:r>
            <w:bookmarkStart w:id="69" w:name=".lead.23"/>
            <w:bookmarkStart w:id="70" w:name=".lead.24"/>
            <w:bookmarkEnd w:id="69"/>
            <w:bookmarkEnd w:id="70"/>
          </w:p>
        </w:tc>
        <w:tc>
          <w:tcPr>
            <w:tcW w:w="60" w:type="dxa"/>
            <w:tcBorders/>
            <w:shd w:fill="CCEEFF" w:val="clear"/>
            <w:vAlign w:val="center"/>
          </w:tcPr>
          <w:p>
            <w:pPr>
              <w:pStyle w:val="TableContents"/>
              <w:bidi w:val="0"/>
              <w:spacing w:before="0" w:after="283"/>
              <w:jc w:val="left"/>
              <w:rPr/>
            </w:pPr>
            <w:r>
              <w:rPr/>
              <w:t> </w:t>
            </w:r>
            <w:bookmarkStart w:id="71" w:name=".symb.23"/>
            <w:bookmarkStart w:id="72" w:name=".symb.24"/>
            <w:bookmarkEnd w:id="71"/>
            <w:bookmarkEnd w:id="72"/>
          </w:p>
        </w:tc>
        <w:tc>
          <w:tcPr>
            <w:tcW w:w="460" w:type="dxa"/>
            <w:tcBorders/>
            <w:shd w:fill="CCEEFF" w:val="clear"/>
            <w:vAlign w:val="center"/>
          </w:tcPr>
          <w:p>
            <w:pPr>
              <w:pStyle w:val="TableContents"/>
              <w:bidi w:val="0"/>
              <w:spacing w:before="0" w:after="283"/>
              <w:jc w:val="left"/>
              <w:rPr/>
            </w:pPr>
            <w:r>
              <w:rPr/>
              <w:t> </w:t>
            </w:r>
            <w:bookmarkStart w:id="73" w:name=".amt.23"/>
            <w:bookmarkStart w:id="74" w:name=".amt.24"/>
            <w:bookmarkEnd w:id="73"/>
            <w:bookmarkEnd w:id="74"/>
          </w:p>
        </w:tc>
        <w:tc>
          <w:tcPr>
            <w:tcW w:w="460" w:type="dxa"/>
            <w:tcBorders/>
            <w:shd w:fill="CCEEFF" w:val="clear"/>
            <w:vAlign w:val="center"/>
          </w:tcPr>
          <w:p>
            <w:pPr>
              <w:pStyle w:val="TableContents"/>
              <w:bidi w:val="0"/>
              <w:spacing w:before="0" w:after="283"/>
              <w:ind w:left="0" w:right="0" w:hanging="0"/>
              <w:jc w:val="right"/>
              <w:rPr/>
            </w:pPr>
            <w:r>
              <w:rPr/>
              <w:t> </w:t>
            </w:r>
            <w:bookmarkStart w:id="75" w:name=".trail.23"/>
            <w:bookmarkStart w:id="76" w:name=".trail.24"/>
            <w:bookmarkEnd w:id="75"/>
            <w:bookmarkEnd w:id="76"/>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Lucid Capital Markets, LLC</w:t>
            </w:r>
            <w:bookmarkStart w:id="77" w:name=".lead.25"/>
            <w:bookmarkStart w:id="78" w:name=".lead.26"/>
            <w:bookmarkEnd w:id="77"/>
            <w:bookmarkEnd w:id="78"/>
          </w:p>
        </w:tc>
        <w:tc>
          <w:tcPr>
            <w:tcW w:w="60" w:type="dxa"/>
            <w:tcBorders/>
            <w:shd w:fill="FFFFFF" w:val="clear"/>
            <w:vAlign w:val="center"/>
          </w:tcPr>
          <w:p>
            <w:pPr>
              <w:pStyle w:val="TableContents"/>
              <w:bidi w:val="0"/>
              <w:spacing w:before="0" w:after="283"/>
              <w:jc w:val="left"/>
              <w:rPr/>
            </w:pPr>
            <w:r>
              <w:rPr/>
              <w:t> </w:t>
            </w:r>
            <w:bookmarkStart w:id="79" w:name=".symb.25"/>
            <w:bookmarkStart w:id="80" w:name=".symb.26"/>
            <w:bookmarkEnd w:id="79"/>
            <w:bookmarkEnd w:id="80"/>
          </w:p>
        </w:tc>
        <w:tc>
          <w:tcPr>
            <w:tcW w:w="4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1" w:name=".amt.25"/>
            <w:bookmarkStart w:id="82" w:name=".amt.26"/>
            <w:bookmarkEnd w:id="81"/>
            <w:bookmarkEnd w:id="82"/>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 </w:t>
            </w:r>
            <w:bookmarkStart w:id="83" w:name=".trail.25"/>
            <w:bookmarkStart w:id="84" w:name=".trail.26"/>
            <w:bookmarkEnd w:id="83"/>
            <w:bookmarkEnd w:id="84"/>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85" w:name=".lead.27"/>
            <w:bookmarkStart w:id="86" w:name=".lead.28"/>
            <w:bookmarkEnd w:id="85"/>
            <w:bookmarkEnd w:id="86"/>
          </w:p>
        </w:tc>
        <w:tc>
          <w:tcPr>
            <w:tcW w:w="60" w:type="dxa"/>
            <w:tcBorders/>
            <w:shd w:fill="CCEEFF" w:val="clear"/>
            <w:vAlign w:val="center"/>
          </w:tcPr>
          <w:p>
            <w:pPr>
              <w:pStyle w:val="TableContents"/>
              <w:bidi w:val="0"/>
              <w:spacing w:before="0" w:after="283"/>
              <w:jc w:val="left"/>
              <w:rPr/>
            </w:pPr>
            <w:r>
              <w:rPr/>
              <w:t> </w:t>
            </w:r>
            <w:bookmarkStart w:id="87" w:name=".symb.27"/>
            <w:bookmarkStart w:id="88" w:name=".symb.28"/>
            <w:bookmarkEnd w:id="87"/>
            <w:bookmarkEnd w:id="88"/>
          </w:p>
        </w:tc>
        <w:tc>
          <w:tcPr>
            <w:tcW w:w="4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9" w:name=".amt.27"/>
            <w:bookmarkStart w:id="90" w:name=".amt.28"/>
            <w:bookmarkEnd w:id="89"/>
            <w:bookmarkEnd w:id="90"/>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 </w:t>
            </w:r>
            <w:bookmarkStart w:id="91" w:name=".trail.27"/>
            <w:bookmarkStart w:id="92" w:name=".trail.28"/>
            <w:bookmarkEnd w:id="91"/>
            <w:bookmarkEnd w:id="92"/>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underwriting agreement provides that the obligation of the underwriters to purchase the shares of Common Stock offered by this Prospectus Supplement and the accompanying Base Prospectus is subject to certain conditions. The underwriters are obligated to purchase all of the shares of Common Stock offered hereby if any of the shares are purchased. The underwriters expect to deliver the shares of Common Stock to purchasers on or about June     , 2026, subject to the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Commissions and Discounts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underwriters propose to offer the shares of Common Stock directly to investors at the offering price set forth on the cover page of this Prospectus Supplement, and to dealers at that price less a concession not in excess of $       per share of Common Stock. After this offering, the offering price, concessions and other selling terms may be changed by the underwriters. The shares of Common Stock are offered subject to receipt and acceptance by the underwriters and to the other conditions, including the right to reject orders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compensation to be paid to the underwriters by us and the proceeds, before expenses, payable to us:</w:t>
      </w:r>
    </w:p>
    <w:p>
      <w:pPr>
        <w:pStyle w:val="TextBody"/>
        <w:bidi w:val="0"/>
        <w:spacing w:before="0" w:after="0"/>
        <w:ind w:left="0" w:right="0" w:firstLine="720"/>
        <w:jc w:val="both"/>
        <w:rPr>
          <w:caps w:val="false"/>
          <w:smallCaps w:val="false"/>
        </w:rPr>
      </w:pPr>
      <w:r>
        <w:rPr>
          <w:caps w:val="false"/>
          <w:smallCaps w:val="false"/>
        </w:rPr>
        <w:t> </w:t>
      </w:r>
    </w:p>
    <w:tbl>
      <w:tblPr>
        <w:tblW w:w="8807" w:type="dxa"/>
        <w:jc w:val="left"/>
        <w:tblInd w:w="0" w:type="dxa"/>
        <w:tblLayout w:type="fixed"/>
        <w:tblCellMar>
          <w:top w:w="0" w:type="dxa"/>
          <w:left w:w="0" w:type="dxa"/>
          <w:bottom w:w="0" w:type="dxa"/>
          <w:right w:w="0" w:type="dxa"/>
        </w:tblCellMar>
      </w:tblPr>
      <w:tblGrid>
        <w:gridCol w:w="3290"/>
        <w:gridCol w:w="60"/>
        <w:gridCol w:w="884"/>
        <w:gridCol w:w="425"/>
        <w:gridCol w:w="60"/>
        <w:gridCol w:w="60"/>
        <w:gridCol w:w="1177"/>
        <w:gridCol w:w="567"/>
        <w:gridCol w:w="60"/>
        <w:gridCol w:w="60"/>
        <w:gridCol w:w="1420"/>
        <w:gridCol w:w="684"/>
        <w:gridCol w:w="60"/>
      </w:tblGrid>
      <w:tr>
        <w:trPr/>
        <w:tc>
          <w:tcPr>
            <w:tcW w:w="3290" w:type="dxa"/>
            <w:tcBorders/>
            <w:vAlign w:val="center"/>
          </w:tcPr>
          <w:p>
            <w:pPr>
              <w:pStyle w:val="TableContents"/>
              <w:bidi w:val="0"/>
              <w:spacing w:before="0" w:after="283"/>
              <w:jc w:val="left"/>
              <w:rPr/>
            </w:pPr>
            <w:r>
              <w:rPr/>
              <w:t> </w:t>
            </w:r>
            <w:bookmarkStart w:id="93" w:name=".lead.D21"/>
            <w:bookmarkStart w:id="94" w:name=".lead.D22"/>
            <w:bookmarkEnd w:id="93"/>
            <w:bookmarkEnd w:id="94"/>
          </w:p>
        </w:tc>
        <w:tc>
          <w:tcPr>
            <w:tcW w:w="60" w:type="dxa"/>
            <w:tcBorders/>
            <w:vAlign w:val="center"/>
          </w:tcPr>
          <w:p>
            <w:pPr>
              <w:pStyle w:val="TableContents"/>
              <w:bidi w:val="0"/>
              <w:spacing w:before="0" w:after="283"/>
              <w:ind w:left="0" w:right="0" w:hanging="0"/>
              <w:jc w:val="left"/>
              <w:rPr/>
            </w:pPr>
            <w:r>
              <w:rPr/>
              <w:t> </w:t>
            </w:r>
            <w:bookmarkStart w:id="95" w:name=".amt.D21"/>
            <w:bookmarkStart w:id="96" w:name=".amt.D22"/>
            <w:bookmarkEnd w:id="95"/>
            <w:bookmarkEnd w:id="96"/>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 Share of </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bookmarkStart w:id="97" w:name=".trail.D21"/>
            <w:bookmarkStart w:id="98" w:name=".trail.D22"/>
            <w:bookmarkEnd w:id="97"/>
            <w:bookmarkEnd w:id="98"/>
          </w:p>
        </w:tc>
        <w:tc>
          <w:tcPr>
            <w:tcW w:w="60" w:type="dxa"/>
            <w:tcBorders/>
            <w:vAlign w:val="center"/>
          </w:tcPr>
          <w:p>
            <w:pPr>
              <w:pStyle w:val="TableContents"/>
              <w:bidi w:val="0"/>
              <w:spacing w:before="0" w:after="283"/>
              <w:jc w:val="left"/>
              <w:rPr/>
            </w:pPr>
            <w:r>
              <w:rPr/>
              <w:t> </w:t>
            </w:r>
            <w:bookmarkStart w:id="99" w:name=".lead.D3"/>
            <w:bookmarkEnd w:id="99"/>
          </w:p>
        </w:tc>
        <w:tc>
          <w:tcPr>
            <w:tcW w:w="60" w:type="dxa"/>
            <w:tcBorders/>
            <w:vAlign w:val="center"/>
          </w:tcPr>
          <w:p>
            <w:pPr>
              <w:pStyle w:val="TableContents"/>
              <w:bidi w:val="0"/>
              <w:spacing w:before="0" w:after="283"/>
              <w:ind w:left="0" w:right="0" w:hanging="0"/>
              <w:jc w:val="left"/>
              <w:rPr/>
            </w:pPr>
            <w:r>
              <w:rPr/>
              <w:t> </w:t>
            </w:r>
            <w:bookmarkStart w:id="100" w:name=".amt.D3"/>
            <w:bookmarkEnd w:id="100"/>
          </w:p>
        </w:tc>
        <w:tc>
          <w:tcPr>
            <w:tcW w:w="1744"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Without Option to</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 Additional</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bookmarkStart w:id="101" w:name=".trail.D3"/>
            <w:bookmarkEnd w:id="101"/>
          </w:p>
        </w:tc>
        <w:tc>
          <w:tcPr>
            <w:tcW w:w="60" w:type="dxa"/>
            <w:tcBorders/>
            <w:vAlign w:val="center"/>
          </w:tcPr>
          <w:p>
            <w:pPr>
              <w:pStyle w:val="TableContents"/>
              <w:bidi w:val="0"/>
              <w:spacing w:before="0" w:after="283"/>
              <w:jc w:val="left"/>
              <w:rPr/>
            </w:pPr>
            <w:r>
              <w:rPr/>
              <w:t> </w:t>
            </w:r>
            <w:bookmarkStart w:id="102" w:name=".lead.D4"/>
            <w:bookmarkEnd w:id="102"/>
          </w:p>
        </w:tc>
        <w:tc>
          <w:tcPr>
            <w:tcW w:w="60" w:type="dxa"/>
            <w:tcBorders/>
            <w:vAlign w:val="center"/>
          </w:tcPr>
          <w:p>
            <w:pPr>
              <w:pStyle w:val="TableContents"/>
              <w:bidi w:val="0"/>
              <w:spacing w:before="0" w:after="283"/>
              <w:ind w:left="0" w:right="0" w:hanging="0"/>
              <w:jc w:val="left"/>
              <w:rPr/>
            </w:pPr>
            <w:r>
              <w:rPr/>
              <w:t> </w:t>
            </w:r>
            <w:bookmarkStart w:id="103" w:name=".amt.D4"/>
            <w:bookmarkEnd w:id="103"/>
          </w:p>
        </w:tc>
        <w:tc>
          <w:tcPr>
            <w:tcW w:w="2104"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With Option to Purchase</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Shares</w:t>
            </w:r>
            <w:bookmarkStart w:id="104" w:name=".trail.D4"/>
            <w:bookmarkEnd w:id="104"/>
          </w:p>
        </w:tc>
        <w:tc>
          <w:tcPr>
            <w:tcW w:w="6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Offering price</w:t>
            </w:r>
            <w:bookmarkStart w:id="105" w:name=".lead.29"/>
            <w:bookmarkStart w:id="106" w:name=".lead.210"/>
            <w:bookmarkEnd w:id="105"/>
            <w:bookmarkEnd w:id="106"/>
          </w:p>
        </w:tc>
        <w:tc>
          <w:tcPr>
            <w:tcW w:w="60" w:type="dxa"/>
            <w:tcBorders/>
            <w:shd w:fill="CCEEFF" w:val="clear"/>
            <w:vAlign w:val="center"/>
          </w:tcPr>
          <w:p>
            <w:pPr>
              <w:pStyle w:val="TableContents"/>
              <w:bidi w:val="0"/>
              <w:spacing w:before="0" w:after="283"/>
              <w:ind w:left="0" w:right="0" w:hanging="0"/>
              <w:jc w:val="left"/>
              <w:rPr/>
            </w:pPr>
            <w:r>
              <w:rPr/>
              <w:t> </w:t>
            </w:r>
            <w:bookmarkStart w:id="107" w:name=".symb.29"/>
            <w:bookmarkStart w:id="108" w:name=".symb.210"/>
            <w:bookmarkEnd w:id="107"/>
            <w:bookmarkEnd w:id="108"/>
          </w:p>
        </w:tc>
        <w:tc>
          <w:tcPr>
            <w:tcW w:w="8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9" w:name=".amt.29"/>
            <w:bookmarkStart w:id="110" w:name=".amt.210"/>
            <w:bookmarkEnd w:id="109"/>
            <w:bookmarkEnd w:id="110"/>
          </w:p>
        </w:tc>
        <w:tc>
          <w:tcPr>
            <w:tcW w:w="425" w:type="dxa"/>
            <w:tcBorders/>
            <w:shd w:fill="CCEEFF" w:val="clear"/>
            <w:vAlign w:val="center"/>
          </w:tcPr>
          <w:p>
            <w:pPr>
              <w:pStyle w:val="TableContents"/>
              <w:bidi w:val="0"/>
              <w:spacing w:before="0" w:after="283"/>
              <w:ind w:left="0" w:right="0" w:hanging="0"/>
              <w:jc w:val="right"/>
              <w:rPr/>
            </w:pPr>
            <w:r>
              <w:rPr/>
              <w:t> </w:t>
            </w:r>
            <w:bookmarkStart w:id="111" w:name=".trail.29"/>
            <w:bookmarkStart w:id="112" w:name=".trail.210"/>
            <w:bookmarkEnd w:id="111"/>
            <w:bookmarkEnd w:id="112"/>
          </w:p>
        </w:tc>
        <w:tc>
          <w:tcPr>
            <w:tcW w:w="60" w:type="dxa"/>
            <w:tcBorders/>
            <w:shd w:fill="CCEEFF" w:val="clear"/>
            <w:vAlign w:val="center"/>
          </w:tcPr>
          <w:p>
            <w:pPr>
              <w:pStyle w:val="TableContents"/>
              <w:bidi w:val="0"/>
              <w:spacing w:before="0" w:after="283"/>
              <w:jc w:val="left"/>
              <w:rPr/>
            </w:pPr>
            <w:r>
              <w:rPr/>
              <w:t> </w:t>
            </w:r>
            <w:bookmarkStart w:id="113" w:name=".lead.35"/>
            <w:bookmarkStart w:id="114" w:name=".lead.36"/>
            <w:bookmarkEnd w:id="113"/>
            <w:bookmarkEnd w:id="114"/>
          </w:p>
        </w:tc>
        <w:tc>
          <w:tcPr>
            <w:tcW w:w="60" w:type="dxa"/>
            <w:tcBorders/>
            <w:shd w:fill="CCEEFF" w:val="clear"/>
            <w:vAlign w:val="center"/>
          </w:tcPr>
          <w:p>
            <w:pPr>
              <w:pStyle w:val="TableContents"/>
              <w:bidi w:val="0"/>
              <w:spacing w:before="0" w:after="283"/>
              <w:ind w:left="0" w:right="0" w:hanging="0"/>
              <w:jc w:val="left"/>
              <w:rPr/>
            </w:pPr>
            <w:r>
              <w:rPr/>
              <w:t> </w:t>
            </w:r>
            <w:bookmarkStart w:id="115" w:name=".symb.35"/>
            <w:bookmarkStart w:id="116" w:name=".symb.36"/>
            <w:bookmarkEnd w:id="115"/>
            <w:bookmarkEnd w:id="116"/>
          </w:p>
        </w:tc>
        <w:tc>
          <w:tcPr>
            <w:tcW w:w="1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7" w:name=".amt.35"/>
            <w:bookmarkStart w:id="118" w:name=".amt.36"/>
            <w:bookmarkEnd w:id="117"/>
            <w:bookmarkEnd w:id="118"/>
          </w:p>
        </w:tc>
        <w:tc>
          <w:tcPr>
            <w:tcW w:w="567" w:type="dxa"/>
            <w:tcBorders/>
            <w:shd w:fill="CCEEFF" w:val="clear"/>
            <w:vAlign w:val="center"/>
          </w:tcPr>
          <w:p>
            <w:pPr>
              <w:pStyle w:val="TableContents"/>
              <w:bidi w:val="0"/>
              <w:spacing w:before="0" w:after="283"/>
              <w:ind w:left="0" w:right="0" w:hanging="0"/>
              <w:jc w:val="right"/>
              <w:rPr/>
            </w:pPr>
            <w:r>
              <w:rPr/>
              <w:t> </w:t>
            </w:r>
            <w:bookmarkStart w:id="119" w:name=".trail.35"/>
            <w:bookmarkStart w:id="120" w:name=".trail.36"/>
            <w:bookmarkEnd w:id="119"/>
            <w:bookmarkEnd w:id="120"/>
          </w:p>
        </w:tc>
        <w:tc>
          <w:tcPr>
            <w:tcW w:w="60" w:type="dxa"/>
            <w:tcBorders/>
            <w:shd w:fill="CCEEFF" w:val="clear"/>
            <w:vAlign w:val="center"/>
          </w:tcPr>
          <w:p>
            <w:pPr>
              <w:pStyle w:val="TableContents"/>
              <w:bidi w:val="0"/>
              <w:spacing w:before="0" w:after="283"/>
              <w:jc w:val="left"/>
              <w:rPr/>
            </w:pPr>
            <w:r>
              <w:rPr/>
              <w:t> </w:t>
            </w:r>
            <w:bookmarkStart w:id="121" w:name=".lead.4"/>
            <w:bookmarkEnd w:id="121"/>
          </w:p>
        </w:tc>
        <w:tc>
          <w:tcPr>
            <w:tcW w:w="60" w:type="dxa"/>
            <w:tcBorders/>
            <w:shd w:fill="CCEEFF" w:val="clear"/>
            <w:vAlign w:val="center"/>
          </w:tcPr>
          <w:p>
            <w:pPr>
              <w:pStyle w:val="TableContents"/>
              <w:bidi w:val="0"/>
              <w:spacing w:before="0" w:after="283"/>
              <w:ind w:left="0" w:right="0" w:hanging="0"/>
              <w:jc w:val="left"/>
              <w:rPr/>
            </w:pPr>
            <w:r>
              <w:rPr/>
              <w:t> </w:t>
            </w:r>
            <w:bookmarkStart w:id="122" w:name=".symb.4"/>
            <w:bookmarkEnd w:id="122"/>
          </w:p>
        </w:tc>
        <w:tc>
          <w:tcPr>
            <w:tcW w:w="14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3" w:name=".amt.4"/>
            <w:bookmarkEnd w:id="123"/>
          </w:p>
        </w:tc>
        <w:tc>
          <w:tcPr>
            <w:tcW w:w="684" w:type="dxa"/>
            <w:tcBorders/>
            <w:shd w:fill="CCEEFF" w:val="clear"/>
            <w:vAlign w:val="center"/>
          </w:tcPr>
          <w:p>
            <w:pPr>
              <w:pStyle w:val="TableContents"/>
              <w:bidi w:val="0"/>
              <w:spacing w:before="0" w:after="283"/>
              <w:ind w:left="0" w:right="0" w:hanging="0"/>
              <w:jc w:val="right"/>
              <w:rPr/>
            </w:pPr>
            <w:r>
              <w:rPr/>
              <w:t> </w:t>
            </w:r>
            <w:bookmarkStart w:id="124" w:name=".trail.4"/>
            <w:bookmarkEnd w:id="124"/>
          </w:p>
        </w:tc>
        <w:tc>
          <w:tcPr>
            <w:tcW w:w="6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Underwriting discount and commissions</w:t>
            </w:r>
            <w:bookmarkStart w:id="125" w:name=".lead.211"/>
            <w:bookmarkStart w:id="126" w:name=".lead.212"/>
            <w:bookmarkEnd w:id="125"/>
            <w:bookmarkEnd w:id="126"/>
          </w:p>
        </w:tc>
        <w:tc>
          <w:tcPr>
            <w:tcW w:w="60" w:type="dxa"/>
            <w:tcBorders/>
            <w:shd w:fill="FFFFFF" w:val="clear"/>
            <w:vAlign w:val="center"/>
          </w:tcPr>
          <w:p>
            <w:pPr>
              <w:pStyle w:val="TableContents"/>
              <w:bidi w:val="0"/>
              <w:spacing w:before="0" w:after="283"/>
              <w:ind w:left="0" w:right="0" w:hanging="0"/>
              <w:jc w:val="left"/>
              <w:rPr/>
            </w:pPr>
            <w:r>
              <w:rPr/>
              <w:t> </w:t>
            </w:r>
            <w:bookmarkStart w:id="127" w:name=".symb.211"/>
            <w:bookmarkStart w:id="128" w:name=".symb.212"/>
            <w:bookmarkEnd w:id="127"/>
            <w:bookmarkEnd w:id="128"/>
          </w:p>
        </w:tc>
        <w:tc>
          <w:tcPr>
            <w:tcW w:w="8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9" w:name=".amt.211"/>
            <w:bookmarkStart w:id="130" w:name=".amt.212"/>
            <w:bookmarkEnd w:id="129"/>
            <w:bookmarkEnd w:id="130"/>
          </w:p>
        </w:tc>
        <w:tc>
          <w:tcPr>
            <w:tcW w:w="425" w:type="dxa"/>
            <w:tcBorders/>
            <w:shd w:fill="FFFFFF" w:val="clear"/>
            <w:vAlign w:val="center"/>
          </w:tcPr>
          <w:p>
            <w:pPr>
              <w:pStyle w:val="TableContents"/>
              <w:bidi w:val="0"/>
              <w:spacing w:before="0" w:after="283"/>
              <w:ind w:left="0" w:right="0" w:hanging="0"/>
              <w:jc w:val="right"/>
              <w:rPr/>
            </w:pPr>
            <w:r>
              <w:rPr/>
              <w:t> </w:t>
            </w:r>
            <w:bookmarkStart w:id="131" w:name=".trail.211"/>
            <w:bookmarkStart w:id="132" w:name=".trail.212"/>
            <w:bookmarkEnd w:id="131"/>
            <w:bookmarkEnd w:id="132"/>
          </w:p>
        </w:tc>
        <w:tc>
          <w:tcPr>
            <w:tcW w:w="60" w:type="dxa"/>
            <w:tcBorders/>
            <w:shd w:fill="FFFFFF" w:val="clear"/>
            <w:vAlign w:val="center"/>
          </w:tcPr>
          <w:p>
            <w:pPr>
              <w:pStyle w:val="TableContents"/>
              <w:bidi w:val="0"/>
              <w:spacing w:before="0" w:after="283"/>
              <w:jc w:val="left"/>
              <w:rPr/>
            </w:pPr>
            <w:r>
              <w:rPr/>
              <w:t> </w:t>
            </w:r>
            <w:bookmarkStart w:id="133" w:name=".lead.37"/>
            <w:bookmarkStart w:id="134" w:name=".lead.38"/>
            <w:bookmarkEnd w:id="133"/>
            <w:bookmarkEnd w:id="134"/>
          </w:p>
        </w:tc>
        <w:tc>
          <w:tcPr>
            <w:tcW w:w="60" w:type="dxa"/>
            <w:tcBorders/>
            <w:shd w:fill="FFFFFF" w:val="clear"/>
            <w:vAlign w:val="center"/>
          </w:tcPr>
          <w:p>
            <w:pPr>
              <w:pStyle w:val="TableContents"/>
              <w:bidi w:val="0"/>
              <w:spacing w:before="0" w:after="283"/>
              <w:ind w:left="0" w:right="0" w:hanging="0"/>
              <w:jc w:val="left"/>
              <w:rPr/>
            </w:pPr>
            <w:r>
              <w:rPr/>
              <w:t> </w:t>
            </w:r>
            <w:bookmarkStart w:id="135" w:name=".symb.37"/>
            <w:bookmarkStart w:id="136" w:name=".symb.38"/>
            <w:bookmarkEnd w:id="135"/>
            <w:bookmarkEnd w:id="136"/>
          </w:p>
        </w:tc>
        <w:tc>
          <w:tcPr>
            <w:tcW w:w="117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7" w:name=".amt.37"/>
            <w:bookmarkStart w:id="138" w:name=".amt.38"/>
            <w:bookmarkEnd w:id="137"/>
            <w:bookmarkEnd w:id="138"/>
          </w:p>
        </w:tc>
        <w:tc>
          <w:tcPr>
            <w:tcW w:w="567" w:type="dxa"/>
            <w:tcBorders/>
            <w:shd w:fill="FFFFFF" w:val="clear"/>
            <w:vAlign w:val="center"/>
          </w:tcPr>
          <w:p>
            <w:pPr>
              <w:pStyle w:val="TableContents"/>
              <w:bidi w:val="0"/>
              <w:spacing w:before="0" w:after="283"/>
              <w:ind w:left="0" w:right="0" w:hanging="0"/>
              <w:jc w:val="right"/>
              <w:rPr/>
            </w:pPr>
            <w:r>
              <w:rPr/>
              <w:t> </w:t>
            </w:r>
            <w:bookmarkStart w:id="139" w:name=".trail.37"/>
            <w:bookmarkStart w:id="140" w:name=".trail.38"/>
            <w:bookmarkEnd w:id="139"/>
            <w:bookmarkEnd w:id="140"/>
          </w:p>
        </w:tc>
        <w:tc>
          <w:tcPr>
            <w:tcW w:w="60" w:type="dxa"/>
            <w:tcBorders/>
            <w:shd w:fill="FFFFFF" w:val="clear"/>
            <w:vAlign w:val="center"/>
          </w:tcPr>
          <w:p>
            <w:pPr>
              <w:pStyle w:val="TableContents"/>
              <w:bidi w:val="0"/>
              <w:spacing w:before="0" w:after="283"/>
              <w:jc w:val="left"/>
              <w:rPr/>
            </w:pPr>
            <w:r>
              <w:rPr/>
              <w:t> </w:t>
            </w:r>
            <w:bookmarkStart w:id="141" w:name=".lead.41"/>
            <w:bookmarkStart w:id="142" w:name=".lead.42"/>
            <w:bookmarkEnd w:id="141"/>
            <w:bookmarkEnd w:id="142"/>
          </w:p>
        </w:tc>
        <w:tc>
          <w:tcPr>
            <w:tcW w:w="60" w:type="dxa"/>
            <w:tcBorders/>
            <w:shd w:fill="FFFFFF" w:val="clear"/>
            <w:vAlign w:val="center"/>
          </w:tcPr>
          <w:p>
            <w:pPr>
              <w:pStyle w:val="TableContents"/>
              <w:bidi w:val="0"/>
              <w:spacing w:before="0" w:after="283"/>
              <w:ind w:left="0" w:right="0" w:hanging="0"/>
              <w:jc w:val="left"/>
              <w:rPr/>
            </w:pPr>
            <w:r>
              <w:rPr/>
              <w:t> </w:t>
            </w:r>
            <w:bookmarkStart w:id="143" w:name=".symb.41"/>
            <w:bookmarkStart w:id="144" w:name=".symb.42"/>
            <w:bookmarkEnd w:id="143"/>
            <w:bookmarkEnd w:id="144"/>
          </w:p>
        </w:tc>
        <w:tc>
          <w:tcPr>
            <w:tcW w:w="142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5" w:name=".amt.41"/>
            <w:bookmarkStart w:id="146" w:name=".amt.42"/>
            <w:bookmarkEnd w:id="145"/>
            <w:bookmarkEnd w:id="146"/>
          </w:p>
        </w:tc>
        <w:tc>
          <w:tcPr>
            <w:tcW w:w="684" w:type="dxa"/>
            <w:tcBorders/>
            <w:shd w:fill="FFFFFF" w:val="clear"/>
            <w:vAlign w:val="center"/>
          </w:tcPr>
          <w:p>
            <w:pPr>
              <w:pStyle w:val="TableContents"/>
              <w:bidi w:val="0"/>
              <w:spacing w:before="0" w:after="283"/>
              <w:ind w:left="0" w:right="0" w:hanging="0"/>
              <w:jc w:val="right"/>
              <w:rPr/>
            </w:pPr>
            <w:r>
              <w:rPr/>
              <w:t> </w:t>
            </w:r>
            <w:bookmarkStart w:id="147" w:name=".trail.41"/>
            <w:bookmarkStart w:id="148" w:name=".trail.42"/>
            <w:bookmarkEnd w:id="147"/>
            <w:bookmarkEnd w:id="148"/>
          </w:p>
        </w:tc>
        <w:tc>
          <w:tcPr>
            <w:tcW w:w="6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before expenses, to us</w:t>
            </w:r>
            <w:bookmarkStart w:id="149" w:name=".lead.213"/>
            <w:bookmarkStart w:id="150" w:name=".lead.214"/>
            <w:bookmarkEnd w:id="149"/>
            <w:bookmarkEnd w:id="150"/>
          </w:p>
        </w:tc>
        <w:tc>
          <w:tcPr>
            <w:tcW w:w="60" w:type="dxa"/>
            <w:tcBorders/>
            <w:shd w:fill="CCEEFF" w:val="clear"/>
            <w:vAlign w:val="center"/>
          </w:tcPr>
          <w:p>
            <w:pPr>
              <w:pStyle w:val="TableContents"/>
              <w:bidi w:val="0"/>
              <w:spacing w:before="0" w:after="283"/>
              <w:ind w:left="0" w:right="0" w:hanging="0"/>
              <w:jc w:val="left"/>
              <w:rPr/>
            </w:pPr>
            <w:r>
              <w:rPr/>
              <w:t> </w:t>
            </w:r>
            <w:bookmarkStart w:id="151" w:name=".symb.213"/>
            <w:bookmarkStart w:id="152" w:name=".symb.214"/>
            <w:bookmarkEnd w:id="151"/>
            <w:bookmarkEnd w:id="152"/>
          </w:p>
        </w:tc>
        <w:tc>
          <w:tcPr>
            <w:tcW w:w="8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3" w:name=".amt.213"/>
            <w:bookmarkStart w:id="154" w:name=".amt.214"/>
            <w:bookmarkEnd w:id="153"/>
            <w:bookmarkEnd w:id="154"/>
          </w:p>
        </w:tc>
        <w:tc>
          <w:tcPr>
            <w:tcW w:w="425" w:type="dxa"/>
            <w:tcBorders/>
            <w:shd w:fill="CCEEFF" w:val="clear"/>
            <w:vAlign w:val="center"/>
          </w:tcPr>
          <w:p>
            <w:pPr>
              <w:pStyle w:val="TableContents"/>
              <w:bidi w:val="0"/>
              <w:spacing w:before="0" w:after="283"/>
              <w:ind w:left="0" w:right="0" w:hanging="0"/>
              <w:jc w:val="right"/>
              <w:rPr/>
            </w:pPr>
            <w:r>
              <w:rPr/>
              <w:t> </w:t>
            </w:r>
            <w:bookmarkStart w:id="155" w:name=".trail.213"/>
            <w:bookmarkStart w:id="156" w:name=".trail.214"/>
            <w:bookmarkEnd w:id="155"/>
            <w:bookmarkEnd w:id="156"/>
          </w:p>
        </w:tc>
        <w:tc>
          <w:tcPr>
            <w:tcW w:w="60" w:type="dxa"/>
            <w:tcBorders/>
            <w:shd w:fill="CCEEFF" w:val="clear"/>
            <w:vAlign w:val="center"/>
          </w:tcPr>
          <w:p>
            <w:pPr>
              <w:pStyle w:val="TableContents"/>
              <w:bidi w:val="0"/>
              <w:spacing w:before="0" w:after="283"/>
              <w:jc w:val="left"/>
              <w:rPr/>
            </w:pPr>
            <w:r>
              <w:rPr/>
              <w:t> </w:t>
            </w:r>
            <w:bookmarkStart w:id="157" w:name=".lead.39"/>
            <w:bookmarkStart w:id="158" w:name=".lead.310"/>
            <w:bookmarkEnd w:id="157"/>
            <w:bookmarkEnd w:id="158"/>
          </w:p>
        </w:tc>
        <w:tc>
          <w:tcPr>
            <w:tcW w:w="60" w:type="dxa"/>
            <w:tcBorders/>
            <w:shd w:fill="CCEEFF" w:val="clear"/>
            <w:vAlign w:val="center"/>
          </w:tcPr>
          <w:p>
            <w:pPr>
              <w:pStyle w:val="TableContents"/>
              <w:bidi w:val="0"/>
              <w:spacing w:before="0" w:after="283"/>
              <w:ind w:left="0" w:right="0" w:hanging="0"/>
              <w:jc w:val="left"/>
              <w:rPr/>
            </w:pPr>
            <w:r>
              <w:rPr/>
              <w:t> </w:t>
            </w:r>
            <w:bookmarkStart w:id="159" w:name=".symb.39"/>
            <w:bookmarkStart w:id="160" w:name=".symb.310"/>
            <w:bookmarkEnd w:id="159"/>
            <w:bookmarkEnd w:id="160"/>
          </w:p>
        </w:tc>
        <w:tc>
          <w:tcPr>
            <w:tcW w:w="1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1" w:name=".amt.39"/>
            <w:bookmarkStart w:id="162" w:name=".amt.310"/>
            <w:bookmarkEnd w:id="161"/>
            <w:bookmarkEnd w:id="162"/>
          </w:p>
        </w:tc>
        <w:tc>
          <w:tcPr>
            <w:tcW w:w="567" w:type="dxa"/>
            <w:tcBorders/>
            <w:shd w:fill="CCEEFF" w:val="clear"/>
            <w:vAlign w:val="center"/>
          </w:tcPr>
          <w:p>
            <w:pPr>
              <w:pStyle w:val="TableContents"/>
              <w:bidi w:val="0"/>
              <w:spacing w:before="0" w:after="283"/>
              <w:ind w:left="0" w:right="0" w:hanging="0"/>
              <w:jc w:val="right"/>
              <w:rPr/>
            </w:pPr>
            <w:r>
              <w:rPr/>
              <w:t> </w:t>
            </w:r>
            <w:bookmarkStart w:id="163" w:name=".trail.39"/>
            <w:bookmarkStart w:id="164" w:name=".trail.310"/>
            <w:bookmarkEnd w:id="163"/>
            <w:bookmarkEnd w:id="164"/>
          </w:p>
        </w:tc>
        <w:tc>
          <w:tcPr>
            <w:tcW w:w="60" w:type="dxa"/>
            <w:tcBorders/>
            <w:shd w:fill="CCEEFF" w:val="clear"/>
            <w:vAlign w:val="center"/>
          </w:tcPr>
          <w:p>
            <w:pPr>
              <w:pStyle w:val="TableContents"/>
              <w:bidi w:val="0"/>
              <w:spacing w:before="0" w:after="283"/>
              <w:jc w:val="left"/>
              <w:rPr/>
            </w:pPr>
            <w:r>
              <w:rPr/>
              <w:t> </w:t>
            </w:r>
            <w:bookmarkStart w:id="165" w:name=".lead.43"/>
            <w:bookmarkStart w:id="166" w:name=".lead.44"/>
            <w:bookmarkEnd w:id="165"/>
            <w:bookmarkEnd w:id="166"/>
          </w:p>
        </w:tc>
        <w:tc>
          <w:tcPr>
            <w:tcW w:w="60" w:type="dxa"/>
            <w:tcBorders/>
            <w:shd w:fill="CCEEFF" w:val="clear"/>
            <w:vAlign w:val="center"/>
          </w:tcPr>
          <w:p>
            <w:pPr>
              <w:pStyle w:val="TableContents"/>
              <w:bidi w:val="0"/>
              <w:spacing w:before="0" w:after="283"/>
              <w:ind w:left="0" w:right="0" w:hanging="0"/>
              <w:jc w:val="left"/>
              <w:rPr/>
            </w:pPr>
            <w:r>
              <w:rPr/>
              <w:t> </w:t>
            </w:r>
            <w:bookmarkStart w:id="167" w:name=".symb.43"/>
            <w:bookmarkStart w:id="168" w:name=".symb.44"/>
            <w:bookmarkEnd w:id="167"/>
            <w:bookmarkEnd w:id="168"/>
          </w:p>
        </w:tc>
        <w:tc>
          <w:tcPr>
            <w:tcW w:w="14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9" w:name=".amt.43"/>
            <w:bookmarkStart w:id="170" w:name=".amt.44"/>
            <w:bookmarkEnd w:id="169"/>
            <w:bookmarkEnd w:id="170"/>
          </w:p>
        </w:tc>
        <w:tc>
          <w:tcPr>
            <w:tcW w:w="684" w:type="dxa"/>
            <w:tcBorders/>
            <w:shd w:fill="CCEEFF" w:val="clear"/>
            <w:vAlign w:val="center"/>
          </w:tcPr>
          <w:p>
            <w:pPr>
              <w:pStyle w:val="TableContents"/>
              <w:bidi w:val="0"/>
              <w:spacing w:before="0" w:after="283"/>
              <w:ind w:left="0" w:right="0" w:hanging="0"/>
              <w:jc w:val="right"/>
              <w:rPr/>
            </w:pPr>
            <w:r>
              <w:rPr/>
              <w:t> </w:t>
            </w:r>
            <w:bookmarkStart w:id="171" w:name=".trail.43"/>
            <w:bookmarkStart w:id="172" w:name=".trail.44"/>
            <w:bookmarkEnd w:id="171"/>
            <w:bookmarkEnd w:id="172"/>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expenses of this offering, not including the underwriting discount, are estimated to be approximately $ and are payable by us. In addition, we have agreed to reimburse the underwriters for certain legal expenses incurred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Option to Purchase Additional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granted an option to the underwriters, exercisable for 30 days after the date of this Prospectus Supplement, to purchase up to        additional shares of Common Stock at the public offering price, less the underwriting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Indemnification of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underwriting agreement, we have agreed to indemnify the underwriters against certain liabilities, including liabilities under the Securities Act, or to contribute to payments that the underwriters or such other indemnified parties may be required to make in respect of those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 Sales of Similar Securities by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executive officers and directors have agreed, subject to customary exceptions, not to offer, sell, agree to sell, directly or indirectly, otherwise dispose of or take certain other actions with respect to any shares of Common Stock or any securities convertible into or exchangeable for shares of Common Stock, except for the shares of Common Stock offered in this offering or as otherwise set forth in the lock-up agreement, without the prior written consent of the Representative for a period of 60 days following the closing of this offering. Further, we have agreed, subject to certain exceptions not to offer, sell, agree to sell, directly or indirectly, otherwise dispose of or take certain other actions with respect to any shares of Common Stock or any securities convertible into or exchangeable for shares of Common Stock, except for the shares of Common Stock offered in this offering or as otherwise set forth in the lock-up agreement, without the prior written consent of the Representative for a period of 60 days after the date of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Nasdaq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quoted on Nasdaq under the symbol “NRXP.”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Electronic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Supplement and the accompanying Base Prospectus may be made available in electronic format on websites or through other online services maintained by the underwriters or by their respective affiliates. In those cases, prospective investors may view offering terms online and prospective investors may be allowed to place orders online. Other than this Prospectus Supplement and the accompanying Base Prospectus in electronic format, the information on the underwriters’ websites or our website and any information contained in any other websites maintained by the underwriter or by us is not part of this Prospectus Supplement, the accompanying Base Prospectus or the registration statement of which this Prospectus Supplement and the accompanying Base Prospectus forms a part, has not been approved and/or endorsed by us or the underwriters in their capacity as underwriters, and should not be relied upon by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Price Stabilization, Short Positions and Penalty Bids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offering, the underwriters may engage in stabilizing transactions, over-allotment transactions, syndicate covering transactions and penalty bids in accordance with Regulation M under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Stabilizing transactions permit bids to purchase the underlying security so long as the stabilizing bids do not exceed a specified maximum.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it may purchase shares through the over-allotment option. A naked short position occurs if the underwriters sell more shares than could be covered by the over-allotment option. This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Penalty bids permit the underwriters to reclaim a selling concession from a syndicate member when the Common Stock originally sold by the syndicate member is purchased in a stabilizing or syndicate covering transaction to cover syndicate short positions.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Neither we nor the underwriters make any representation or prediction as to the direction or magnitude of any effect that the transactions described above may have on the price of our shares of Common Stock. In addition, neither we nor the underwriters make any representation that the underwriters will engage in these transactions or that any transaction, if commenced, will not be discontinued without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(including bank loans)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Offer Restrictions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than in the United States, no action has been taken by us or the underwriter that would permit a public offering of the shares of Common Stock offered by this Prospectus Supplement in any jurisdiction where action for that purpose is required. The shares of Common Stock offered by this Prospectus Supplement and the accompanying Base Prospectus may not be offered or sold, directly or indirectly, nor may this Prospectus Supplement or any other offering material or advertisements in connection with the offer and sale of any such shares of Common Stock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this offering and the distribution of this Prospectus Supplement. This Prospectus Supplement does not constitute an offer to sell or a solicitation of an offer to buy any shares of Common Stock offered by this Prospectus Supplement in any jurisdiction in which such an offer or a solicitation is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is not a disclosure document under Chapter 6D of the Australian Corporations Act, has not been lodged with the Australian Securities and Investments Commission and does not purport to include the information required of a disclosure document under Chapter 6D of the Australian Corporations Act. Accordingly, (i) the offer of the shares of Common Stock under this prospectus is only made to persons to whom it is lawful to offer the shares of Common Stock without disclosure under Chapter 6D of the Australian Corporations Act under one or more exemptions set out in section 708 of the Australian Corporations Act, (ii) this prospectus is made available in Australia only to those persons as set forth in clause (i) above, and (iii) the offeree must be sent a notice stating in substance that by accepting this offer, the offeree represents that the offeree is such a person as set forth in clause (i) above, and, unless permitted under the Australian Corporations Act, agrees not to sell or offer for sale within Australia any of the shares of Common Stock sold to the offeree within 12 months after its transfer to the offeree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shares of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Underwriting Conflicts (NI 33-105), the underwriters are not required to comply with the disclosure requirements of NI33-105 regarding underwriter conflicts of interest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 this document does not constitute a public offer of the shares of Common Stock, whether by way of sale or subscription, in the People’s Republic of China (excluding, for purposes of this paragraph, Hong Kong Special Administrative Region, Macau Special Administrative Region and Taiwan). The shares of Common Stock may not be offered or sold directly or indirectly in the PRC to legal or natural persons other than directly to “qualified domestic institutional investors.”</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European Economic Area-Belgium, Germany, Luxembourg and Netherlands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 this document has been prepared on the basis that all offers of securities will be made pursuant to an exemption under the Directive 2003/71/EC (“Prospectus Directive”), as implemented in Member States of the European Economic Area (each, a “Relevant Member State”), from the requirement to produce a prospectus for offers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 offer to the public of securities has not been made, and may not be made, in a Relevant Member State except pursuant to one of the following exemptions under the Prospectus Directive as implemented in that Relevant Member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 w:hAnsi="Times New Roman"/>
          <w:caps w:val="false"/>
          <w:smallCaps w:val="false"/>
          <w:sz w:val="20"/>
        </w:rPr>
        <w:t>to legal entities that are authorized or regulated to operate in the financial markets or, if not so authorized or regulated, whose corporate purpose is solely to invest in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 w:hAnsi="Times New Roman"/>
          <w:caps w:val="false"/>
          <w:smallCaps w:val="false"/>
          <w:sz w:val="20"/>
        </w:rPr>
        <w:t>to any legal entity that has two or more of (i) an average of at least 250 employees during its last fiscal year; (ii) a total balance sheet of more than €43,000,000 (as shown on its last annual unconsolidated or consolidated financial statements) and (iii) an annual net turnover of more than €50,000,000 (as shown on its last annual unconsolidated or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 w:hAnsi="Times New Roman"/>
          <w:caps w:val="false"/>
          <w:smallCaps w:val="false"/>
          <w:sz w:val="20"/>
        </w:rPr>
        <w:t>to fewer than 100 natural or legal persons (other than qualified investors within the meaning of Article 2(1)(e) of the Prospectus Directive) subject to obtaining our prior consent or any underwriter for any such offer;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 w:hAnsi="Times New Roman"/>
          <w:caps w:val="false"/>
          <w:smallCaps w:val="false"/>
          <w:sz w:val="20"/>
        </w:rPr>
        <w:t>in any other circumstances falling within Article 3(2) of the Prospectus Directive, provided that no such offer of securities shall require us to publish a prospectus pursuant to Article 3 of the Prospectus Directive.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document is not being distributed in the context of a public offering of financial securities (offre au public de titres financiers) in France within the meaning of Article L.411-1 of the French Monetary and Financial Code (Code monétaire et financier) and Articles 211-1 et seq. of the General Regulation of the French Autorité des Marchés Financiers (“AMF”). The shares of Common Stock have not been offered or sold and will not be offered or sold, directly or indirectly, to the public in 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document and any other offering material relating to the shares of Common Stock have not been, and will not be, submitted to the AMF for approval in France and, accordingly, may not be distributed or caused to distributed, directly or indirectly, to the public in 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Such offers, sales and distributions have been and shall only be made in France to (i) qualified investors (investisseurs qualifiés) acting for their own account, as defined in and in accordance with Articles L.411-2-II-2 and D.411-1 to D.411-3, D. 744-1, D.754-1 and D.764-1 of the French Monetary and Financial Code and any implementing regulation and/or (ii) a restricted number of non-qualified investors (cercle restreint d’investisseurs) acting for their own account, as defined in and in accordance with Articles L.411-2-II-2° and D.411-4, D.744-1, D.754-1 and D.764-1 of the French Monetary and Financial Code and any implementing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Article 211-3 of the General Regulation of the AMF, investors in France are informed that the shares of Common Stock cannot be distributed (directly or indirectly) to the public by investors otherwise than in accordance with Articles L.411-1, L.411-2, L.412-1 and L.621-8 to L.621-8-3 of the French Monetary and Financial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Ireland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 this document does not constitute a prospectus under any Irish laws or regulations and this document has not been filed with or approved by any Irish regulatory authority as the information has not been prepared in the context of a public offering of securities in Ireland within the meaning of the Irish Prospectus (Directive 2003/71/EC) Regulations 2005 (the “Prospectus Regulations”). The shares of Common Stock have not been offered or sold, and will not be offered, sold or delivered directly or indirectly in Ireland by way of a public offering, except to (i) qualified investors as defined in Regulation 2(l) of the Prospectus Regulations and (ii) fewer than 100 natural or legal persons who are not qualified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shares of Common Stock offered by this prospectus have not been approved or disapproved by the Israeli Securities Authority (the ISA), or ISA, nor have such securities been registered for sale in Israel. The shares may not be offered or sold, directly or indirectly, to the public in Israel, absent the publication of a prospectus. The ISA has not issued permits, approvals or licenses in connection with this offering or publishing the prospectus; nor has it authenticated the details included herein, confirmed their reliability or completeness, or rendered an opinion as to the quality of the shares of Common Stock being offered. Any resale in Israel, directly or indirectly, to the public of the shares of Common Stock offered by this prospectus is subject to restrictions on transferability and must be effected only in compliance with the Israeli securities laws and regulations.</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Italy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offering of the shares of Common Stock in the Republic of Italy has not been authorized by the Italian Securities and Exchange Commission (Commissione Nazionale per le Società e la Borsa, “CONSOB” pursuant to the Italian securities legislation and, accordingly, no offering material relating to the shares of Common Stock may be distributed in Italy and such securities may not be offered or sold in Italy in a public offer within the meaning of Article 1.1(t) of Legislative Decree No. 58 of 24 February 1998 (“Decree No. 58”),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 w:hAnsi="Times New Roman"/>
          <w:caps w:val="false"/>
          <w:smallCaps w:val="false"/>
          <w:sz w:val="20"/>
        </w:rPr>
        <w:t>to Italian qualified investors, as defined in Article 100 of Decree no. 58 by reference to Article 34-ter of CONSOB Regulation no. 11971 of 14 May 1999 (“Regulation no. 1197l”) as amended (“Qualified Investors”);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 w:hAnsi="Times New Roman"/>
          <w:caps w:val="false"/>
          <w:smallCaps w:val="false"/>
          <w:sz w:val="20"/>
        </w:rPr>
        <w:t>in other circumstances that are exempt from the rules on public offer pursuant to Article 100 of Decree No. 58 and Article 34-ter of Regulation No. 11971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offer, sale or delivery of the shares of Common Stock or distribution of any offer document relating to the shares of Common Stock in Italy (excluding placements where a Qualified Investor solicits an offer from the issuer) under the paragraphs above must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 w:hAnsi="Times New Roman"/>
          <w:caps w:val="false"/>
          <w:smallCaps w:val="false"/>
          <w:sz w:val="20"/>
        </w:rPr>
        <w:t>made by investment firms, banks or financial intermediaries permitted to conduct such activities in Italy in accordance with Legislative Decree No. 385 of 1 September 1993 (as amended), Decree No. 58, CONSOB Regulation No. 16190 of 29 October 2007 and any other applicable laws;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 w:hAnsi="Times New Roman"/>
          <w:caps w:val="false"/>
          <w:smallCaps w:val="false"/>
          <w:sz w:val="20"/>
        </w:rPr>
        <w:t>in compliance with all relevant Italian securities, tax and exchange controls and any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subsequent distribution of the shares of Common Stock in Italy must be made in compliance with the public offer and prospectus requirement rules provided under Decree No. 58 and the Regulation No. 11971 as amended, unless an exception from those rules applies. Failure to comply with such rules may result in the sale of such securities being declared null and void and in the liability of the entity transferring the shares of Common Stock for any damages suffered by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shares of Common Stock have not been and will not be registered under Article 4, paragraph 1 of the Financial Instruments and Exchange Law of Japan (Law No. 25 of 1948), as amended (the “FIEL”) pursuant to an exemption from the registration requirements applicable to a private placement of securities to Qualified Institutional Investors (as defined in and in accordance with Article 2, paragraph 3 of the FIEL and the regulations promulgated thereunder). Accordingly, the shares of Common Stock may not be offered or sold, directly or indirectly, in Japan or to, or for the benefit of, any resident of Japan other than Qualified Institutional Investors. Any Qualified Institutional Investor who acquires securities may not resell them to any person in Japan that is not a Qualified Institutional Investor, and acquisition by any such person of securities is conditional upon the execution of an agreement to that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New Zealand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shares of Common Stock offered hereby have not been offered or sold, and will not be offered or sold, directly or indirectly in New Zealand and no offering materials or advertisements have been or will be distributed in relation to any offer of shares in New Zealand, in each case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 w:hAnsi="Times New Roman"/>
          <w:caps w:val="false"/>
          <w:smallCaps w:val="false"/>
          <w:sz w:val="20"/>
        </w:rPr>
        <w:t>to persons whose principal business is the investment of money or who, in the course of and for the purposes of their business, habitually invest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 w:hAnsi="Times New Roman"/>
          <w:caps w:val="false"/>
          <w:smallCaps w:val="false"/>
          <w:sz w:val="20"/>
        </w:rPr>
        <w:t>to persons who in all the circumstances can properly be regarded as having been selected otherwise than as members of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 w:hAnsi="Times New Roman"/>
          <w:caps w:val="false"/>
          <w:smallCaps w:val="false"/>
          <w:sz w:val="20"/>
        </w:rPr>
        <w:t>to persons who are each required to pay a minimum subscription price of at least NZ$500,000 for the shares before the allotment of those shares (disregarding any amounts payable, or paid, out of money lent by the issuer or any associated person of the issuer);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xml:space="preserve">• </w:t>
      </w:r>
      <w:r>
        <w:rPr>
          <w:rFonts w:ascii="Times New Roman" w:hAnsi="Times New Roman"/>
          <w:caps w:val="false"/>
          <w:smallCaps w:val="false"/>
          <w:sz w:val="20"/>
        </w:rPr>
        <w:t>in other circumstances where there is no contravention of the Securities Act 1978 of New Zealand (or any statutory modification or reenactment of, or statutory substitution for, the Securities Act 1978 of New Zealand).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Portugal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document is not being distributed in the context of a public offer of financial securities (oferta pública de valores mobiliários) in Portugal, within the meaning of Article 109 of the Portuguese Securities Code (Código dos Valores Mobiliários). The shares of Common Stock have not been offered or sold and will not be offered or sold, directly or indirectly, to the public in Portugal. This document and any other offering material relating to the shares of Common Stock have not been, and will not be, submitted to the Portuguese Securities Market Commission (Comissăo do Mercado de Valores Mobiliários) for approval in Portugal and, accordingly, may not be distributed or caused to distributed, directly or indirectly, to the public in Portugal, other than under circumstances that are deemed not to qualify as a public offer under the Portuguese Securities Code. Such offers, sales and distributions of securities in Portugal are limited to persons who are “qualified investors” (as defined in the Portuguese Securities Code). Only such investors may receive this document and they may not distribute it or the information contained in it to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Sweden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document has not been, and will not be, registered with or approved by Finansinspektionen (the Swedish Financial Supervisory Authority). Accordingly, this document may not be made available, nor may the shares of Common Stock be offered for sale in Sweden, other than under circumstances that are deemed not to require a prospectus under the Swedish Financial Instruments Trading Act (1991:980) (Sw. lag (1991:980) om handel med finansiella instrument). Any offering of securities in Sweden is limited to persons who are “qualified investors” (as defined in the Financial Instruments Trading Act). Only such investors may receive this document and they may not distribute it or the information contained in it to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Switzerland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shares of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material relating to the shares of Common Stock may be publicly distributed or otherwise made publicly available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Neither this document nor any other offering material relating to the shares of Common Stock have been or will be filed with or approved by any Swiss regulatory authority. In particular, this document will not be filed with, and the offer of shares of Common Stock will not be supervised by, the Swiss Financial Market Supervisory Authority (FINMA).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document is personal to the recipient only and not for general circulation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United Arab Emirates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Neither this document nor the shares of Common Stock have been approved, disapproved or passed on in any way by the Central Bank of the United Arab Emirates or any other governmental authority in the United Arab Emirates, nor have we received authorization or licensing from the Central Bank of the United Arab Emirates or any other governmental authority in the United Arab Emirates to market or sell the shares of Common Stock within the United Arab Emirates. This document does not constitute and may not be used for the purpose of an offer or invitation. We may not render services relating to the shares of Common Stock within the United Arab Emirates, including the receipt of applications and/or the allotment or redemption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offer or invitation to subscribe for securities is valid or permitted in the Dubai International Financial Centre.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Neither the information in this document nor any other document relating to the offer has been delivered for approval to the Financial Services Authority in the United Kingdom and no prospectus (within the meaning of section 85 of the Financial Services and Markets Act 2000, as amended (“FSMA”)) has been published or is intended to be published in respect of the shares of Common Stock. This document is issued on a confidential basis to “qualified investors” (within the meaning of section 86(7) of FSMA) in the United Kingdom, and the shares of Common Stock may not be offered or sold in the United Kingdom by means of this document, any accompanying letter or any other document, except in circumstances which do not require the publication of a prospectus pursuant to section 86(1) FSMA. This document should not be distributed, published or reproduced, in whole or in part, nor may its contents be disclosed by recipients to any other person in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invitation or inducement to engage in investment activity (within the meaning of section 21 of FSMA) received in connection with the issue or sale of the shares of Common Stock has only been communicated or caused to be communicated and will only be communicated or caused to be communicated in the United Kingdom in circumstances in which section 21(1) of FSMA does not apply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United Kingdom, this document is being distributed only to, and is directed at, persons (i) who have professional experience in matters relating to investments falling within Article 19(5) (investment professionals) of the Financial Services and Markets Act 2000 (Financial Promotions) Order 2005 (“FPO”), (ii) who fall within the categories of persons referred to in Article 49(2)(a) to (d) (high net worth companies, unincorporated associations, etc.) of the FPO or (iii) to whom it may otherwise be lawfully communicated (together “relevant persons”). The investments to which this document relates are available only to, and any invitation, offer or agreement to purchase will be engaged in only with, relevant persons. Any person who is not a relevant person should not act or rely on this document or any of its contents.</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legal matters relating to the validity of our common stock to be offered under this Prospectus Supplement have been passed upon for us by Cozen O’Connor, New York, New York. The underwriters are being represented by Duane Morris LLP,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of the Company as of December 31, 2025 and for the year then ended, incorporated in this Prospectus Supplement by reference from the Company’s Annual Report on Form 10-K, for the year ended December 31, 2025, have been audited by Weinberg &amp; Company P.A., an independent registered public accounting firm, as stated in their report thereon (which report contains an explanatory paragraph regarding the ability of the Company to continue as a going concern), and have been incorporated by reference in reliance upon such report and upon the authority of such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of the Company as of December 31, 2024 and for the year then ended, incorporated in this Prospectus Supplement by reference from the Company’s Annual Report on Form 10-K, for the year ended December 31, 2025, have been audited by Salberg &amp; Company, P.A., an independent registered public accounting firm, as stated in their report thereon (which report contains an explanatory paragraph regarding the ability of the Company to continue as a going concern), and have been incorporated by reference in reliance upon such report and upon the authority of such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WHERE YOU CAN FIND MORE</w:t>
      </w:r>
      <w:r>
        <w:rPr>
          <w:rFonts w:ascii="Times New Roman" w:hAnsi="Times New Roman"/>
          <w:caps w:val="false"/>
          <w:smallCaps w:val="false"/>
          <w:sz w:val="20"/>
        </w:rPr>
        <w:t xml:space="preserve"> </w:t>
      </w:r>
      <w:r>
        <w:rPr>
          <w:rFonts w:ascii="Times New Roman" w:hAnsi="Times New Roman"/>
          <w:b/>
          <w:caps w:val="false"/>
          <w:smallCaps w:val="false"/>
          <w:sz w:val="20"/>
        </w:rPr>
        <w:t>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file annual, quarterly, and current reports, proxy statements, and other information with the SEC. We have filed with the SEC a registration statement on Form S-3 under the Securities Act with respect to the securities offered by this Prospectus Supplement. This Prospectus Supplement and the accompany Base Prospectus, which constitute a part of the registration statement, do not contain all of the information in the registration statement. For further information about us and the securities offered by this Prospectus Supplement, we refer you to the registration statement and the exhibits filed as part of the registration statement. You may read the registration statement as well as our reports, proxy statements and other documents we file with the SEC over the internet at the SEC’s website at https://www.sec.gov.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also maintain a website at </w:t>
      </w:r>
      <w:r>
        <w:rPr>
          <w:rFonts w:ascii="Times New Roman" w:hAnsi="Times New Roman"/>
          <w:i/>
          <w:caps w:val="false"/>
          <w:smallCaps w:val="false"/>
          <w:sz w:val="20"/>
        </w:rPr>
        <w:t>www.nrxpharma.com</w:t>
      </w:r>
      <w:r>
        <w:rPr>
          <w:rFonts w:ascii="Times New Roman" w:hAnsi="Times New Roman"/>
          <w:caps w:val="false"/>
          <w:smallCaps w:val="false"/>
          <w:sz w:val="20"/>
        </w:rPr>
        <w:t>, at which you may access these materials free of charge as soon as reasonably practicable after they are electronically filed with, or furnished to, the SEC. We have not incorporated by reference into this Prospectus Supplement, the accompanying Base Prospectus or the registration statement, the information on our website, and you should not consider it to be a part of this Prospectus Supplement, the accompanying Base Prospectus or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the information we file with the SEC, which means that we can disclose important information to you by referring you to those documents. The information incorporated by reference is considered to be part of this Prospectus Supplement. Information that we file later with the SEC will automatically update and supersede information in this Prospectus Supplement. In all cases, you should rely on the later information over different information included in this Prospectus Supplement. The following documents have been filed by us with the SEC and are incorporated by reference into this Prospectus Supplement:</w:t>
      </w:r>
    </w:p>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60"/>
        <w:gridCol w:w="170"/>
        <w:gridCol w:w="95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3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our Annual Report on Form 10-K for the fiscal year ended December 31, 2025, filed with the SEC on </w:t>
            </w:r>
            <w:hyperlink r:id="rId3">
              <w:r>
                <w:rPr>
                  <w:rStyle w:val="InternetLink"/>
                  <w:rFonts w:ascii="Times New Roman;Times;serif" w:hAnsi="Times New Roman;Times;serif"/>
                  <w:caps w:val="false"/>
                  <w:smallCaps w:val="false"/>
                  <w:sz w:val="20"/>
                  <w:u w:val="single"/>
                </w:rPr>
                <w:t>March 23, 2026</w:t>
              </w:r>
            </w:hyperlink>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60"/>
        <w:gridCol w:w="170"/>
        <w:gridCol w:w="9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0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our Quarterly Report on Form 10-Q for the quarter ended March 31, 2026, filed with the SEC on </w:t>
            </w:r>
            <w:hyperlink r:id="rId4">
              <w:r>
                <w:rPr>
                  <w:rStyle w:val="InternetLink"/>
                  <w:rFonts w:ascii="Times New Roman;Times;serif" w:hAnsi="Times New Roman;Times;serif"/>
                  <w:caps w:val="false"/>
                  <w:smallCaps w:val="false"/>
                  <w:sz w:val="20"/>
                  <w:u w:val="single"/>
                </w:rPr>
                <w:t>May 15, 2026</w:t>
              </w:r>
            </w:hyperlink>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our Current Report on Form 8-K and 8-K/A filed with the SEC on </w:t>
            </w:r>
            <w:hyperlink r:id="rId5">
              <w:r>
                <w:rPr>
                  <w:rStyle w:val="InternetLink"/>
                  <w:rFonts w:ascii="Times New Roman;Times;serif" w:hAnsi="Times New Roman;Times;serif"/>
                  <w:caps w:val="false"/>
                  <w:smallCaps w:val="false"/>
                  <w:sz w:val="20"/>
                  <w:u w:val="single"/>
                </w:rPr>
                <w:t>January 16, 2026</w:t>
              </w:r>
            </w:hyperlink>
            <w:r>
              <w:rPr>
                <w:rFonts w:ascii="Times New Roman;Times;serif" w:hAnsi="Times New Roman;Times;serif"/>
                <w:caps w:val="false"/>
                <w:smallCaps w:val="false"/>
                <w:sz w:val="20"/>
              </w:rPr>
              <w:t xml:space="preserve">, </w:t>
            </w:r>
            <w:hyperlink r:id="rId6">
              <w:r>
                <w:rPr>
                  <w:rStyle w:val="InternetLink"/>
                  <w:rFonts w:ascii="Times New Roman;Times;serif" w:hAnsi="Times New Roman;Times;serif"/>
                  <w:caps w:val="false"/>
                  <w:smallCaps w:val="false"/>
                  <w:sz w:val="20"/>
                  <w:u w:val="single"/>
                </w:rPr>
                <w:t>February 2, 2026</w:t>
              </w:r>
            </w:hyperlink>
            <w:r>
              <w:rPr>
                <w:rFonts w:ascii="Times New Roman;Times;serif" w:hAnsi="Times New Roman;Times;serif"/>
                <w:caps w:val="false"/>
                <w:smallCaps w:val="false"/>
                <w:sz w:val="20"/>
              </w:rPr>
              <w:t xml:space="preserve">, </w:t>
            </w:r>
            <w:hyperlink r:id="rId7">
              <w:r>
                <w:rPr>
                  <w:rStyle w:val="InternetLink"/>
                  <w:rFonts w:ascii="Times New Roman;Times;serif" w:hAnsi="Times New Roman;Times;serif"/>
                  <w:caps w:val="false"/>
                  <w:smallCaps w:val="false"/>
                  <w:sz w:val="20"/>
                  <w:u w:val="single"/>
                </w:rPr>
                <w:t>February 17, 2026</w:t>
              </w:r>
            </w:hyperlink>
            <w:r>
              <w:rPr>
                <w:rFonts w:ascii="Times New Roman;Times;serif" w:hAnsi="Times New Roman;Times;serif"/>
                <w:caps w:val="false"/>
                <w:smallCaps w:val="false"/>
                <w:sz w:val="20"/>
              </w:rPr>
              <w:t xml:space="preserve">, </w:t>
            </w:r>
            <w:hyperlink r:id="rId8">
              <w:r>
                <w:rPr>
                  <w:rStyle w:val="InternetLink"/>
                  <w:rFonts w:ascii="Times New Roman;Times;serif" w:hAnsi="Times New Roman;Times;serif"/>
                  <w:caps w:val="false"/>
                  <w:smallCaps w:val="false"/>
                  <w:sz w:val="20"/>
                  <w:u w:val="single"/>
                </w:rPr>
                <w:t>February 17, 2026</w:t>
              </w:r>
            </w:hyperlink>
            <w:r>
              <w:rPr>
                <w:rFonts w:ascii="Times New Roman;Times;serif" w:hAnsi="Times New Roman;Times;serif"/>
                <w:caps w:val="false"/>
                <w:smallCaps w:val="false"/>
                <w:sz w:val="20"/>
              </w:rPr>
              <w:t xml:space="preserve"> and </w:t>
            </w:r>
            <w:hyperlink r:id="rId9">
              <w:r>
                <w:rPr>
                  <w:rStyle w:val="InternetLink"/>
                  <w:rFonts w:ascii="Times New Roman;Times;serif" w:hAnsi="Times New Roman;Times;serif"/>
                  <w:caps w:val="false"/>
                  <w:smallCaps w:val="false"/>
                  <w:sz w:val="20"/>
                  <w:u w:val="single"/>
                </w:rPr>
                <w:t>March 24, 2026</w:t>
              </w:r>
            </w:hyperlink>
            <w:r>
              <w:rPr>
                <w:rFonts w:ascii="Times New Roman;Times;serif" w:hAnsi="Times New Roman;Times;serif"/>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description of our Common Stock contained in or incorporated into our </w:t>
            </w:r>
            <w:hyperlink r:id="rId10">
              <w:r>
                <w:rPr>
                  <w:rStyle w:val="InternetLink"/>
                  <w:rFonts w:ascii="Times New Roman;Times;serif" w:hAnsi="Times New Roman;Times;serif"/>
                  <w:caps w:val="false"/>
                  <w:smallCaps w:val="false"/>
                  <w:sz w:val="20"/>
                  <w:u w:val="single"/>
                </w:rPr>
                <w:t>Registration Statement on Form 8-A, filed with the SEC on November 20, 2017</w:t>
              </w:r>
            </w:hyperlink>
            <w:r>
              <w:rPr>
                <w:rFonts w:ascii="Times New Roman;Times;serif" w:hAnsi="Times New Roman;Times;serif"/>
                <w:caps w:val="false"/>
                <w:smallCaps w:val="false"/>
                <w:sz w:val="20"/>
              </w:rPr>
              <w:t>, and any amendment or report updating that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reports and other documents that we subsequently file with the SEC (other than any portion of such filings that are furnished under applicable SEC rules rather than filed) pursuant to Section 13(a), 13(c), 14 or 15(d) of the Exchange Act after the date of this Prospectus Supplement and before the completion of the Offering will be deemed to be incorporated by reference into this Prospectus Supplement and the accompanying Base Prospectus and to be part of this Prospectus Supplement and the accompanying Base Prospectus from the date of filing of such reports and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not assume that the information in this Prospectus Supplement and the accompanying Base Prospectus, or any document incorporated by reference herein or therein is accurate as of any date other than the date of the applicable document. Any statement contained in a document incorporated or deemed to be incorporated by reference into this Prospectus Supplement and the accompanying Base Prospectus will be deemed to be modified or superseded for purposes of this Prospectus Supplement to the extent that a statement contained in this Prospectus Supplement or the accompanying Base Prospectus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may request a copy of any or all documents referred to above that have been or may be incorporated by reference into this Prospectus Supplement (excluding certain exhibits to the documents) at no cost, by writing or calling us at the following address or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NRx Pharmaceuticals, Inc.</w:t>
        <w:br/>
        <w:t>Michael Abrams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br/>
        <w:t>1201 North Market Street, Suite 111</w:t>
        <w:br/>
        <w:t>Wilmington, Delaware 19801</w:t>
        <w:br/>
        <w:t>(484) 254-6134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81125" cy="1133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381125" cy="1133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PREFERRED STOCK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DEBT SECURITIES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DEPOSITARY SHARES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WARRANTS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RIGHTS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PURCHASE CONTRACTS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we may offer and sell, in one or more offerings, up to $150 million of our common stock, par value $0.001 per share (the “</w:t>
      </w:r>
      <w:r>
        <w:rPr>
          <w:rFonts w:ascii="Times New Roman" w:hAnsi="Times New Roman"/>
          <w:i/>
          <w:caps w:val="false"/>
          <w:smallCaps w:val="false"/>
          <w:sz w:val="20"/>
        </w:rPr>
        <w:t>Common Stock</w:t>
      </w:r>
      <w:r>
        <w:rPr>
          <w:rFonts w:ascii="Times New Roman" w:hAnsi="Times New Roman"/>
          <w:caps w:val="false"/>
          <w:smallCaps w:val="false"/>
          <w:sz w:val="20"/>
        </w:rPr>
        <w:t>”), shares of our preferred stock, debt securities, depositary shares, warrants, rights, purchase contracts or units, or any combination thereof. We may also offer securities as may be issuable upon conversion, repurchase, exchange or exercise of any securities registered hereunder, including any applicable anti-dilution provisions.</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listed on The Nasdaq Capital Market, which we sometimes refer to herein as “Nasdaq,” under the symbol “NRXP.” On December 19, 2025, the closing price of our Common Stock was $2.37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“Plan of Distribution”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Our business and investing in our securities involves significant risks. You should review carefully the risks and uncertainties referenced under the heading </w:t>
      </w:r>
      <w:r>
        <w:rPr>
          <w:rFonts w:ascii="Times New Roman" w:hAnsi="Times New Roman"/>
          <w:caps w:val="false"/>
          <w:smallCaps w:val="false"/>
          <w:sz w:val="20"/>
        </w:rPr>
        <w:t>“</w:t>
      </w:r>
      <w:r>
        <w:rPr>
          <w:rFonts w:ascii="Times New Roman" w:hAnsi="Times New Roman"/>
          <w:b/>
          <w:caps w:val="false"/>
          <w:smallCaps w:val="false"/>
          <w:sz w:val="20"/>
        </w:rPr>
        <w:t>Risk Factors</w:t>
      </w:r>
      <w:r>
        <w:rPr>
          <w:rFonts w:ascii="Times New Roman" w:hAnsi="Times New Roman"/>
          <w:caps w:val="false"/>
          <w:smallCaps w:val="false"/>
          <w:sz w:val="20"/>
        </w:rPr>
        <w:t xml:space="preserve">” </w:t>
      </w:r>
      <w:r>
        <w:rPr>
          <w:rFonts w:ascii="Times New Roman" w:hAnsi="Times New Roman"/>
          <w:b/>
          <w:caps w:val="false"/>
          <w:smallCaps w:val="false"/>
          <w:sz w:val="20"/>
        </w:rPr>
        <w:t>on page 3</w:t>
      </w:r>
      <w:r>
        <w:rPr>
          <w:rFonts w:ascii="Times New Roman" w:hAnsi="Times New Roman"/>
          <w:caps w:val="false"/>
          <w:smallCaps w:val="false"/>
          <w:sz w:val="20"/>
        </w:rPr>
        <w:t> </w:t>
      </w:r>
      <w:r>
        <w:rPr>
          <w:rFonts w:ascii="Times New Roman" w:hAnsi="Times New Roman"/>
          <w:b/>
          <w:caps w:val="false"/>
          <w:smallCaps w:val="false"/>
          <w:sz w:val="20"/>
        </w:rPr>
        <w:t>of this prospectus, as well as those contained in the applicable prospectus supplement and any related free writing prospectus, and in the other documents that are incorporated by reference into this prospectus or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 date of this prospectus is</w:t>
      </w:r>
      <w:r>
        <w:rPr>
          <w:rFonts w:ascii="Times New Roman" w:hAnsi="Times New Roman"/>
          <w:caps w:val="false"/>
          <w:smallCaps w:val="false"/>
          <w:sz w:val="20"/>
        </w:rPr>
        <w:t xml:space="preserve"> </w:t>
      </w:r>
      <w:r>
        <w:rPr>
          <w:rFonts w:ascii="Times New Roman" w:hAnsi="Times New Roman"/>
          <w:b/>
          <w:caps w:val="false"/>
          <w:smallCaps w:val="false"/>
          <w:sz w:val="20"/>
        </w:rPr>
        <w:t>December 22,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TABLE</w:t>
      </w:r>
      <w:r>
        <w:rPr>
          <w:rFonts w:ascii="Times New Roman" w:hAnsi="Times New Roman"/>
          <w:caps w:val="false"/>
          <w:smallCaps w:val="false"/>
          <w:sz w:val="20"/>
        </w:rPr>
        <w:t> </w:t>
      </w:r>
      <w:r>
        <w:rPr>
          <w:rFonts w:ascii="Times New Roman" w:hAnsi="Times New Roman"/>
          <w:b/>
          <w:caps w:val="false"/>
          <w:smallCaps w:val="false"/>
          <w:sz w:val="20"/>
        </w:rPr>
        <w:t>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0"/>
        <w:gridCol w:w="515"/>
      </w:tblGrid>
      <w:tr>
        <w:trPr/>
        <w:tc>
          <w:tcPr>
            <w:tcW w:w="9690" w:type="dxa"/>
            <w:tcBorders/>
            <w:vAlign w:val="center"/>
          </w:tcPr>
          <w:p>
            <w:pPr>
              <w:pStyle w:val="TableContents"/>
              <w:bidi w:val="0"/>
              <w:spacing w:before="0" w:after="283"/>
              <w:jc w:val="left"/>
              <w:rPr/>
            </w:pPr>
            <w:r>
              <w:rPr/>
              <w:t> </w:t>
            </w:r>
          </w:p>
        </w:tc>
        <w:tc>
          <w:tcPr>
            <w:tcW w:w="5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w:t>
            </w:r>
          </w:p>
        </w:tc>
      </w:tr>
      <w:tr>
        <w:trPr/>
        <w:tc>
          <w:tcPr>
            <w:tcW w:w="96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ABOUT THIS PROSPECTUS</w:t>
            </w:r>
          </w:p>
        </w:tc>
        <w:tc>
          <w:tcPr>
            <w:tcW w:w="51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r>
      <w:tr>
        <w:trPr/>
        <w:tc>
          <w:tcPr>
            <w:tcW w:w="9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PROSPECTUS SUMMARY</w:t>
            </w:r>
          </w:p>
        </w:tc>
        <w:tc>
          <w:tcPr>
            <w:tcW w:w="51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tc>
      </w:tr>
      <w:tr>
        <w:trPr/>
        <w:tc>
          <w:tcPr>
            <w:tcW w:w="9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 FACTORS</w:t>
            </w:r>
          </w:p>
        </w:tc>
        <w:tc>
          <w:tcPr>
            <w:tcW w:w="51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tc>
      </w:tr>
      <w:tr>
        <w:trPr/>
        <w:tc>
          <w:tcPr>
            <w:tcW w:w="9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CAUTIONARY NOTES REGARDING FORWARD-LOOKING STATEMENTS</w:t>
            </w:r>
          </w:p>
        </w:tc>
        <w:tc>
          <w:tcPr>
            <w:tcW w:w="51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r>
      <w:tr>
        <w:trPr/>
        <w:tc>
          <w:tcPr>
            <w:tcW w:w="9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USE OF PROCEEDS</w:t>
            </w:r>
          </w:p>
        </w:tc>
        <w:tc>
          <w:tcPr>
            <w:tcW w:w="51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tc>
      </w:tr>
      <w:tr>
        <w:trPr/>
        <w:tc>
          <w:tcPr>
            <w:tcW w:w="9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OUR CAPITAL STOCK</w:t>
            </w:r>
          </w:p>
        </w:tc>
        <w:tc>
          <w:tcPr>
            <w:tcW w:w="51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tc>
      </w:tr>
      <w:tr>
        <w:trPr/>
        <w:tc>
          <w:tcPr>
            <w:tcW w:w="9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THE DEBT SECURITIES</w:t>
            </w:r>
          </w:p>
        </w:tc>
        <w:tc>
          <w:tcPr>
            <w:tcW w:w="51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tc>
      </w:tr>
      <w:tr>
        <w:trPr/>
        <w:tc>
          <w:tcPr>
            <w:tcW w:w="9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THE DEPOSITARY SHARES</w:t>
            </w:r>
          </w:p>
        </w:tc>
        <w:tc>
          <w:tcPr>
            <w:tcW w:w="51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tc>
      </w:tr>
      <w:tr>
        <w:trPr/>
        <w:tc>
          <w:tcPr>
            <w:tcW w:w="9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THE WARRANTS</w:t>
            </w:r>
          </w:p>
        </w:tc>
        <w:tc>
          <w:tcPr>
            <w:tcW w:w="51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tc>
      </w:tr>
      <w:tr>
        <w:trPr/>
        <w:tc>
          <w:tcPr>
            <w:tcW w:w="9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THE RIGHTS</w:t>
            </w:r>
          </w:p>
        </w:tc>
        <w:tc>
          <w:tcPr>
            <w:tcW w:w="51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tc>
      </w:tr>
      <w:tr>
        <w:trPr/>
        <w:tc>
          <w:tcPr>
            <w:tcW w:w="9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THE PURCHASE CONTRACTS</w:t>
            </w:r>
          </w:p>
        </w:tc>
        <w:tc>
          <w:tcPr>
            <w:tcW w:w="51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tc>
      </w:tr>
      <w:tr>
        <w:trPr/>
        <w:tc>
          <w:tcPr>
            <w:tcW w:w="9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THE UNITS</w:t>
            </w:r>
          </w:p>
        </w:tc>
        <w:tc>
          <w:tcPr>
            <w:tcW w:w="51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tc>
      </w:tr>
      <w:tr>
        <w:trPr/>
        <w:tc>
          <w:tcPr>
            <w:tcW w:w="9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 OF CERTAIN PROVISIONS OF DELAWARE LAW AND OUR CERTIFICATE OF INCORPORATION AND BYLAWS</w:t>
            </w:r>
          </w:p>
        </w:tc>
        <w:tc>
          <w:tcPr>
            <w:tcW w:w="51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tc>
      </w:tr>
      <w:tr>
        <w:trPr/>
        <w:tc>
          <w:tcPr>
            <w:tcW w:w="9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PLAN OF DISTRIBUTION</w:t>
            </w:r>
          </w:p>
        </w:tc>
        <w:tc>
          <w:tcPr>
            <w:tcW w:w="51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tc>
      </w:tr>
      <w:tr>
        <w:trPr/>
        <w:tc>
          <w:tcPr>
            <w:tcW w:w="9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LEGAL MATTERS</w:t>
            </w:r>
          </w:p>
        </w:tc>
        <w:tc>
          <w:tcPr>
            <w:tcW w:w="51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tc>
      </w:tr>
      <w:tr>
        <w:trPr/>
        <w:tc>
          <w:tcPr>
            <w:tcW w:w="9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EXPERTS</w:t>
            </w:r>
          </w:p>
        </w:tc>
        <w:tc>
          <w:tcPr>
            <w:tcW w:w="51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tc>
      </w:tr>
      <w:tr>
        <w:trPr/>
        <w:tc>
          <w:tcPr>
            <w:tcW w:w="9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WHERE YOU CAN FIND MORE INFORMATION</w:t>
            </w:r>
          </w:p>
        </w:tc>
        <w:tc>
          <w:tcPr>
            <w:tcW w:w="51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tc>
      </w:tr>
      <w:tr>
        <w:trPr/>
        <w:tc>
          <w:tcPr>
            <w:tcW w:w="96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INCORPORATION OF CERTAIN INFORMATION BY REFERENCE</w:t>
            </w:r>
          </w:p>
        </w:tc>
        <w:tc>
          <w:tcPr>
            <w:tcW w:w="515"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ABOUT THIS</w:t>
      </w:r>
      <w:r>
        <w:rPr>
          <w:rFonts w:ascii="Times New Roman" w:hAnsi="Times New Roman"/>
          <w:caps w:val="false"/>
          <w:smallCaps w:val="false"/>
          <w:sz w:val="20"/>
        </w:rPr>
        <w:t> </w:t>
      </w:r>
      <w:r>
        <w:rPr>
          <w:rFonts w:ascii="Times New Roman" w:hAnsi="Times New Roman"/>
          <w:b/>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is part of a registration statement filed with the Securities and Exchange Commission (the “</w:t>
      </w:r>
      <w:r>
        <w:rPr>
          <w:rFonts w:ascii="Times New Roman" w:hAnsi="Times New Roman"/>
          <w:i/>
          <w:caps w:val="false"/>
          <w:smallCaps w:val="false"/>
          <w:sz w:val="20"/>
        </w:rPr>
        <w:t>SEC</w:t>
      </w:r>
      <w:r>
        <w:rPr>
          <w:rFonts w:ascii="Times New Roman" w:hAnsi="Times New Roman"/>
          <w:caps w:val="false"/>
          <w:smallCaps w:val="false"/>
          <w:sz w:val="20"/>
        </w:rPr>
        <w:t>”), using a “shelf” registration process. Under this shelf registration process, we may sell the securities described in this prospectus in one or more offerings. This prospectus provides you with a general description of the securities which may be offered. Each time we offer securities for sale, we will provide a prospectus supplement that contains information about the specific terms of that offering. We may also authorize one or more free writing prospectuses to be provided to you that may contain material information relating to these offerings. Any prospectus supplement or free writing prospectus may also add or update information contained in this prospectus.  If there is any inconsistency between the information in this prospectus and the applicable prospectus supplement or free writing prospectus, you should rely on the prospectus supplement or free writing prospectus, as applicable. You should read both this prospectus and any prospectus supplement together with additional information described below under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and “</w:t>
      </w:r>
      <w:r>
        <w:rPr>
          <w:rFonts w:ascii="Times New Roman" w:hAnsi="Times New Roman"/>
          <w:i/>
          <w:caps w:val="false"/>
          <w:smallCaps w:val="false"/>
          <w:sz w:val="20"/>
        </w:rPr>
        <w:t>Incorporation of Certain Information by Reference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contained or incorporated by reference in this prospectus, and in any prospectus supplement or free writing prospectus.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This summary highlights information contained in this prospectus, or incorporated by reference into this prospectus, and does not contain all of the information that you should consider in making your investment decision. Before investing in our securities, you should carefully read this entire prospectus, including the information set forth under the section entitled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as well as our consolidated financial statements, the related notes thereto, and other information incorporated by reference into this prospectus. Some of the statements in this prospectus and the information incorporated by reference into this prospectus constitute forward-looking statements. For additional information, refer to the section entitled </w:t>
      </w:r>
      <w:r>
        <w:rPr>
          <w:rFonts w:ascii="Times New Roman" w:hAnsi="Times New Roman"/>
          <w:caps w:val="false"/>
          <w:smallCaps w:val="false"/>
          <w:sz w:val="20"/>
        </w:rPr>
        <w:t>“</w:t>
      </w:r>
      <w:r>
        <w:rPr>
          <w:rFonts w:ascii="Times New Roman" w:hAnsi="Times New Roman"/>
          <w:i/>
          <w:caps w:val="false"/>
          <w:smallCaps w:val="false"/>
          <w:sz w:val="20"/>
        </w:rPr>
        <w:t>Cautionary Notes Regarding Forward-Looking Statements.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Unless the context requires otherwise, the words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NRx Pharmaceuticals,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NRx</w:t>
      </w:r>
      <w:r>
        <w:rPr>
          <w:rFonts w:ascii="Times New Roman" w:hAnsi="Times New Roman"/>
          <w:caps w:val="false"/>
          <w:smallCaps w:val="false"/>
          <w:sz w:val="20"/>
        </w:rPr>
        <w:t xml:space="preserve">” </w:t>
      </w:r>
      <w:r>
        <w:rPr>
          <w:rFonts w:ascii="Times New Roman" w:hAnsi="Times New Roman"/>
          <w:i/>
          <w:caps w:val="false"/>
          <w:smallCaps w:val="false"/>
          <w:sz w:val="20"/>
        </w:rPr>
        <w:t>refer to NRx Pharmaceuticals, Inc., a Delaware corporation, and its wholly owned subsidiaries, NeuroRx, Inc., ("NeuroRx"), Dura Medical, LLC (</w:t>
      </w:r>
      <w:r>
        <w:rPr>
          <w:rFonts w:ascii="Times New Roman" w:hAnsi="Times New Roman"/>
          <w:caps w:val="false"/>
          <w:smallCaps w:val="false"/>
          <w:sz w:val="20"/>
        </w:rPr>
        <w:t>“</w:t>
      </w:r>
      <w:r>
        <w:rPr>
          <w:rFonts w:ascii="Times New Roman" w:hAnsi="Times New Roman"/>
          <w:i/>
          <w:caps w:val="false"/>
          <w:smallCaps w:val="false"/>
          <w:sz w:val="20"/>
        </w:rPr>
        <w:t>Dura</w:t>
      </w:r>
      <w:r>
        <w:rPr>
          <w:rFonts w:ascii="Times New Roman" w:hAnsi="Times New Roman"/>
          <w:caps w:val="false"/>
          <w:smallCaps w:val="false"/>
          <w:sz w:val="20"/>
        </w:rPr>
        <w:t>”</w:t>
      </w:r>
      <w:r>
        <w:rPr>
          <w:rFonts w:ascii="Times New Roman" w:hAnsi="Times New Roman"/>
          <w:i/>
          <w:caps w:val="false"/>
          <w:smallCaps w:val="false"/>
          <w:sz w:val="20"/>
        </w:rPr>
        <w:t xml:space="preserve">) and HOPE Therapeutics, Inc. ("HOPE").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NRx is a clinical-stage bio-pharmaceutical company which develops and will distribute, through its wholly-owned operating subsidiary, NeuroRx, novel therapeutics for the treatment of central nervous system disorders including suicidal depression, chronic pain, and post-traumatic stress disorder (“</w:t>
      </w:r>
      <w:r>
        <w:rPr>
          <w:rFonts w:ascii="Times New Roman" w:hAnsi="Times New Roman"/>
          <w:i/>
          <w:caps w:val="false"/>
          <w:smallCaps w:val="false"/>
          <w:sz w:val="20"/>
        </w:rPr>
        <w:t>PTSD</w:t>
      </w:r>
      <w:r>
        <w:rPr>
          <w:rFonts w:ascii="Times New Roman" w:hAnsi="Times New Roman"/>
          <w:caps w:val="false"/>
          <w:smallCaps w:val="false"/>
          <w:sz w:val="20"/>
        </w:rPr>
        <w:t>”) and schizophrenia. NRx is additionally the founder and majority owner of HOPE, a medical services company that offers interventional psychiatry care to patients with treatment-resistant depression and PTSD with a combination of neuroplastic drugs, transcranial magnetic stimulation (“</w:t>
      </w:r>
      <w:r>
        <w:rPr>
          <w:rFonts w:ascii="Times New Roman" w:hAnsi="Times New Roman"/>
          <w:i/>
          <w:caps w:val="false"/>
          <w:smallCaps w:val="false"/>
          <w:sz w:val="20"/>
        </w:rPr>
        <w:t>TMS</w:t>
      </w:r>
      <w:r>
        <w:rPr>
          <w:rFonts w:ascii="Times New Roman" w:hAnsi="Times New Roman"/>
          <w:caps w:val="false"/>
          <w:smallCaps w:val="false"/>
          <w:sz w:val="20"/>
        </w:rPr>
        <w:t>”), digital therapeutics, and hyperbaric therapy. All of our current drug development activities are focused on drugs that enhance neuroplasticity by modulating the N-methyl-D-aspartate (“</w:t>
      </w:r>
      <w:r>
        <w:rPr>
          <w:rFonts w:ascii="Times New Roman" w:hAnsi="Times New Roman"/>
          <w:i/>
          <w:caps w:val="false"/>
          <w:smallCaps w:val="false"/>
          <w:sz w:val="20"/>
        </w:rPr>
        <w:t>NMDA</w:t>
      </w:r>
      <w:r>
        <w:rPr>
          <w:rFonts w:ascii="Times New Roman" w:hAnsi="Times New Roman"/>
          <w:caps w:val="false"/>
          <w:smallCaps w:val="false"/>
          <w:sz w:val="20"/>
        </w:rPr>
        <w:t>”) receptor in the brain and nervous system, a neurochemical pathway that has been disclosed in detail in our annual filings. The Company has two lead drug candidates – NRX-100, a preservative-free formulation of ketamine for intravenous infusion, and NRX-101, an oral fixed dose combination of D-cycloserine (“</w:t>
      </w:r>
      <w:r>
        <w:rPr>
          <w:rFonts w:ascii="Times New Roman" w:hAnsi="Times New Roman"/>
          <w:i/>
          <w:caps w:val="false"/>
          <w:smallCaps w:val="false"/>
          <w:sz w:val="20"/>
        </w:rPr>
        <w:t>DCS</w:t>
      </w:r>
      <w:r>
        <w:rPr>
          <w:rFonts w:ascii="Times New Roman" w:hAnsi="Times New Roman"/>
          <w:caps w:val="false"/>
          <w:smallCaps w:val="false"/>
          <w:sz w:val="20"/>
        </w:rPr>
        <w:t>”) and lurasidone.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is subject to substantial risk. Please carefully review the section entitled “</w:t>
      </w:r>
      <w:r>
        <w:rPr>
          <w:rFonts w:ascii="Times New Roman" w:hAnsi="Times New Roman"/>
          <w:i/>
          <w:caps w:val="false"/>
          <w:smallCaps w:val="false"/>
          <w:sz w:val="20"/>
        </w:rPr>
        <w:t>Risk Factors</w:t>
      </w:r>
      <w:r>
        <w:rPr>
          <w:rFonts w:ascii="Times New Roman" w:hAnsi="Times New Roman"/>
          <w:caps w:val="false"/>
          <w:smallCaps w:val="false"/>
          <w:sz w:val="20"/>
        </w:rPr>
        <w:t>” beginning on page 3 of this prospectus for a discussion of the factors you should carefully consider before deciding to purchase the securities offered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 risks and uncertainties not presently known to us or that we currently deem immaterial may also impair our business operations. You should be able to bear a complete loss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Implications of Being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“smaller reporting company,” as defined in Rule 12b-2 of the Securities Exchange Act of 1934, as amended (the “</w:t>
      </w:r>
      <w:r>
        <w:rPr>
          <w:rFonts w:ascii="Times New Roman" w:hAnsi="Times New Roman"/>
          <w:i/>
          <w:caps w:val="false"/>
          <w:smallCaps w:val="false"/>
          <w:sz w:val="20"/>
        </w:rPr>
        <w:t>Exchange Act</w:t>
      </w:r>
      <w:r>
        <w:rPr>
          <w:rFonts w:ascii="Times New Roman" w:hAnsi="Times New Roman"/>
          <w:caps w:val="false"/>
          <w:smallCaps w:val="false"/>
          <w:sz w:val="20"/>
        </w:rPr>
        <w:t>”), in addition to providing reduced disclosure about our executive compensation arrangements and business developments, among other reduced disclosure requirements available to smaller reporting companies, we present only two years of audited financial statements in addition to any required unaudited interim financial statements with correspondingly reduced “Management’s Discussion and Analysis of Financial Condition and Results of Operations”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taken advantage of reduced reporting requirements in this prospectus. Accordingly, the information contained herein may be different from the information you receive from other public companies in which you hold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were incorporated under the laws of the State of Delaware on September 18, 2017 under the name Big Rock Partners Acquisition Corp. Upon the closing of the business combination with NeuroRx, Inc. on May 24, 2021, we changed our name to NRx Pharmaceuticals, Inc. Our principal executive offices are located at 1201 Orange Street, Suite 600, Wilmington, Delaware 19801, our mailing address is 1201 North Market Street, Suite 111, Wilmington, Delaware 19801 and our telephone number is (484) 254-6134. Our website address is </w:t>
      </w:r>
      <w:r>
        <w:rPr>
          <w:rFonts w:ascii="Times New Roman" w:hAnsi="Times New Roman"/>
          <w:i/>
          <w:caps w:val="false"/>
          <w:smallCaps w:val="false"/>
          <w:sz w:val="20"/>
        </w:rPr>
        <w:t>www.nrxpharma.com</w:t>
      </w:r>
      <w:r>
        <w:rPr>
          <w:rFonts w:ascii="Times New Roman" w:hAnsi="Times New Roman"/>
          <w:caps w:val="false"/>
          <w:smallCaps w:val="false"/>
          <w:sz w:val="20"/>
        </w:rPr>
        <w:t>. The information contained on, or accessible through, our website does not constitute a part of and is not incorporated by reference in this prospectus, or the registration statement of which it forms a part. We have included our website address in this prospectus solely as an inactive textual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RISK</w:t>
      </w:r>
      <w:r>
        <w:rPr>
          <w:rFonts w:ascii="Times New Roman" w:hAnsi="Times New Roman"/>
          <w:caps w:val="false"/>
          <w:smallCaps w:val="false"/>
          <w:sz w:val="20"/>
        </w:rPr>
        <w:t> </w:t>
      </w:r>
      <w:r>
        <w:rPr>
          <w:rFonts w:ascii="Times New Roman" w:hAnsi="Times New Roman"/>
          <w:b/>
          <w:caps w:val="false"/>
          <w:smallCaps w:val="false"/>
          <w:sz w:val="20"/>
        </w:rPr>
        <w:t>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Investing in our securities involves a high degree of risk. Before deciding whether to purchase any of our securities, you should carefully consider the risks and uncertainties described under “</w:t>
      </w:r>
      <w:r>
        <w:rPr>
          <w:rFonts w:ascii="Times New Roman" w:hAnsi="Times New Roman"/>
          <w:i/>
          <w:caps w:val="false"/>
          <w:smallCaps w:val="false"/>
          <w:sz w:val="20"/>
        </w:rPr>
        <w:t>Risk Factors</w:t>
      </w:r>
      <w:r>
        <w:rPr>
          <w:rFonts w:ascii="Times New Roman" w:hAnsi="Times New Roman"/>
          <w:caps w:val="false"/>
          <w:smallCaps w:val="false"/>
          <w:sz w:val="20"/>
        </w:rPr>
        <w:t>” contained in the applicable prospectus supplement and any related free writing prospectus, and under similar headings in our Annual Report on Form 10-K for the fiscal year ended December 31, 2024 filed with the SEC on March 14, 2025, as updated by our subsequent filings with the SEC,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r>
        <w:rPr>
          <w:rFonts w:ascii="Times New Roman" w:hAnsi="Times New Roman"/>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and the documents incorporated by reference herein include “forward-looking statements” within the meaning of the “safe harbor” provisions of the U.S. Private Securities Litigation Reform Act of 1995, which may include, but are not limited to, statements regarding our financial outlook, product development, business prospects, and market and industry trends and conditions, as well as our strategies, plans, objectives, and goals. These forward-looking statements are based on current beliefs, expectations, estimates, forecasts, and projections of, as well as assumptions made by, and information currently available to, our management. Words such as “expect,” “anticipate,” “should,” “believe,” “hope,” “target,” “project,” “goals,” “estimate,” “potential,” “predict,” “may,” “will,” “might,” “could,” “would,” “seek,” “plan,” “intend,” “shall,” and variations of these terms or the negative of these terms and similar expressions are intended to identify these forward-looking statements. These forward-looking statements are, by their nature, subject to significant risks and uncertainties, many of which involve factors or circumstances that are beyond our control. These risks and uncertainties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60"/>
        <w:gridCol w:w="170"/>
        <w:gridCol w:w="3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relatively limited operating history;</w:t>
            </w:r>
          </w:p>
        </w:tc>
      </w:tr>
    </w:tbl>
    <w:p>
      <w:pPr>
        <w:pStyle w:val="TextBody"/>
        <w:bidi w:val="0"/>
        <w:spacing w:before="0" w:after="0"/>
        <w:ind w:left="0" w:right="0" w:hanging="0"/>
        <w:jc w:val="both"/>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60"/>
        <w:gridCol w:w="170"/>
        <w:gridCol w:w="6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6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expand, retain and motivate our employees and manage our growth;</w:t>
            </w:r>
          </w:p>
        </w:tc>
      </w:tr>
    </w:tbl>
    <w:p>
      <w:pPr>
        <w:pStyle w:val="TextBody"/>
        <w:bidi w:val="0"/>
        <w:spacing w:before="0" w:after="0"/>
        <w:ind w:left="0"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risks associated with general industry conditions and competition;</w:t>
            </w:r>
          </w:p>
        </w:tc>
      </w:tr>
    </w:tbl>
    <w:p>
      <w:pPr>
        <w:pStyle w:val="TextBody"/>
        <w:bidi w:val="0"/>
        <w:spacing w:before="0" w:after="0"/>
        <w:ind w:left="0" w:right="0" w:hanging="0"/>
        <w:jc w:val="both"/>
        <w:rPr/>
      </w:pPr>
      <w:r>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general economic factors, including interest rate and currency exchange rate fluctuations;</w:t>
            </w:r>
          </w:p>
        </w:tc>
      </w:tr>
    </w:tbl>
    <w:p>
      <w:pPr>
        <w:pStyle w:val="TextBody"/>
        <w:bidi w:val="0"/>
        <w:spacing w:before="0" w:after="0"/>
        <w:ind w:left="0" w:right="0" w:hanging="0"/>
        <w:jc w:val="both"/>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60"/>
        <w:gridCol w:w="170"/>
        <w:gridCol w:w="9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pharmaceutical industry regulation and health care legislation in the United States and internationally;</w:t>
            </w:r>
          </w:p>
        </w:tc>
      </w:tr>
    </w:tbl>
    <w:p>
      <w:pPr>
        <w:pStyle w:val="TextBody"/>
        <w:bidi w:val="0"/>
        <w:spacing w:before="0" w:after="0"/>
        <w:ind w:left="0" w:right="0" w:hanging="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60"/>
        <w:gridCol w:w="170"/>
        <w:gridCol w:w="61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1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technological advances, new products and patents attained by competitors;</w:t>
            </w:r>
          </w:p>
        </w:tc>
      </w:tr>
    </w:tbl>
    <w:p>
      <w:pPr>
        <w:pStyle w:val="TextBody"/>
        <w:bidi w:val="0"/>
        <w:spacing w:before="0" w:after="0"/>
        <w:ind w:left="0" w:right="0" w:hanging="0"/>
        <w:jc w:val="both"/>
        <w:rPr/>
      </w:pPr>
      <w:r>
        <w:rPr/>
        <w:t> </w:t>
      </w:r>
    </w:p>
    <w:tbl>
      <w:tblPr>
        <w:tblW w:w="7645" w:type="dxa"/>
        <w:jc w:val="left"/>
        <w:tblInd w:w="0" w:type="dxa"/>
        <w:tblLayout w:type="fixed"/>
        <w:tblCellMar>
          <w:top w:w="0" w:type="dxa"/>
          <w:left w:w="0" w:type="dxa"/>
          <w:bottom w:w="0" w:type="dxa"/>
          <w:right w:w="0" w:type="dxa"/>
        </w:tblCellMar>
      </w:tblPr>
      <w:tblGrid>
        <w:gridCol w:w="60"/>
        <w:gridCol w:w="170"/>
        <w:gridCol w:w="74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4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challenges inherent in new product development, including obtaining regulatory approval;</w:t>
            </w:r>
          </w:p>
        </w:tc>
      </w:tr>
    </w:tbl>
    <w:p>
      <w:pPr>
        <w:pStyle w:val="TextBody"/>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60"/>
        <w:gridCol w:w="170"/>
        <w:gridCol w:w="4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6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accurately predict future market conditions;</w:t>
            </w:r>
          </w:p>
        </w:tc>
      </w:tr>
    </w:tbl>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60"/>
        <w:gridCol w:w="170"/>
        <w:gridCol w:w="2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difficulties or delays;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laws, rules or regulations relating to any aspect of our business operations, or general economic, market and business conditions;</w:t>
            </w:r>
          </w:p>
        </w:tc>
      </w:tr>
    </w:tbl>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
        <w:gridCol w:w="170"/>
        <w:gridCol w:w="5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4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instability of international economies and sovereign risk;</w:t>
            </w:r>
          </w:p>
        </w:tc>
      </w:tr>
    </w:tbl>
    <w:p>
      <w:pPr>
        <w:pStyle w:val="TextBody"/>
        <w:bidi w:val="0"/>
        <w:spacing w:before="0" w:after="0"/>
        <w:ind w:left="0" w:right="0" w:hanging="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60"/>
        <w:gridCol w:w="170"/>
        <w:gridCol w:w="7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dependence on the effectiveness of our patents and other protections for innovative products; and</w:t>
            </w:r>
          </w:p>
        </w:tc>
      </w:tr>
    </w:tbl>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60"/>
        <w:gridCol w:w="170"/>
        <w:gridCol w:w="65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exposure to litigation, including patent litigation, and/or regulatory 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Furthermore, there can be no guarantees with respect to pipeline products that the products will receive the necessary regulatory approvals or that they will prove to be commercially successful. If underlying assumptions prove inaccurate or risks or uncertainties materialize, actual results may differ materially from those set forth in the forward-looking statements. We assume no obligation and do not intend to update or otherwise revise any forward-looking statement, whether as a result of new information, future events or otherwise, except as required by applicable law. As a result of these and other risks, uncertainties and assumptions, forward-looking events and circumstances discussed herein might not occur in the way that our management expects, if at all. Accordingly, you should not place reliance on any forward-looking statement, and all forward-looking statements are herein qualified by reference to the cautionary statements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read this prospectus, any prospectus supplement and the documents incorporated herein and those documents filed as exhibits to the registration statement, of which this prospectus is a part, with the understanding that our actual future results, levels of activity, performance and achievements may be materially different from what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USE</w:t>
      </w:r>
      <w:r>
        <w:rPr>
          <w:rFonts w:ascii="Times New Roman" w:hAnsi="Times New Roman"/>
          <w:caps w:val="false"/>
          <w:smallCaps w:val="false"/>
          <w:sz w:val="20"/>
        </w:rPr>
        <w:t> </w:t>
      </w:r>
      <w:r>
        <w:rPr>
          <w:rFonts w:ascii="Times New Roman" w:hAnsi="Times New Roman"/>
          <w:b/>
          <w:caps w:val="false"/>
          <w:smallCaps w:val="false"/>
          <w:sz w:val="20"/>
        </w:rPr>
        <w:t>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cannot assure you that we will receive any proceeds in connection with securities which may be offered pursuant to this prospectus. Unless otherwise provided in the applicable prospectus supplement, we intend to use the net proceeds from the sale of the securities under this prospectus primarily for working capital and general corporate purposes to support our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Investors are cautioned, however, that expenditures may vary substantially from these uses. Investors will be relying on the judgment of our management, who will have broad discretion regarding the application of the proceeds of this offering. The amounts and timing of our actual expenditures will depend upon numerous factors, including the amount of cash generated by our operations, the amount of competition and other operational factors. We may find it necessary or advisable to use portions of the proceeds from this offering for other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From time to time, we evaluate these and other factors and we anticipate continuing to make such evaluations to determine if the existing allocation of resources, including the proceeds of this offering, is being optimized.  Pending these uses, we may invest the net proceeds from this offering in short-term, investment-grade interest-bearing securities such as money market accounts, certificates of deposit, commercial paper and guaranteed obligations of the U.S. government. We cannot predict whether the proceeds invested will yield a favorable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OUR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description summarizes the material terms of the terms of our securities and is not intended to be a complete summary of the rights and preferences of such securities. The full text of our Second Amended and Restated Certificate of Incorporation (the “</w:t>
      </w:r>
      <w:r>
        <w:rPr>
          <w:rFonts w:ascii="Times New Roman" w:hAnsi="Times New Roman"/>
          <w:i/>
          <w:caps w:val="false"/>
          <w:smallCaps w:val="false"/>
          <w:sz w:val="20"/>
        </w:rPr>
        <w:t>Charter</w:t>
      </w:r>
      <w:r>
        <w:rPr>
          <w:rFonts w:ascii="Times New Roman" w:hAnsi="Times New Roman"/>
          <w:caps w:val="false"/>
          <w:smallCaps w:val="false"/>
          <w:sz w:val="20"/>
        </w:rPr>
        <w:t>”) and our Second Amended and Restated Bylaws (the “</w:t>
      </w:r>
      <w:r>
        <w:rPr>
          <w:rFonts w:ascii="Times New Roman" w:hAnsi="Times New Roman"/>
          <w:i/>
          <w:caps w:val="false"/>
          <w:smallCaps w:val="false"/>
          <w:sz w:val="20"/>
        </w:rPr>
        <w:t>Bylaws</w:t>
      </w:r>
      <w:r>
        <w:rPr>
          <w:rFonts w:ascii="Times New Roman" w:hAnsi="Times New Roman"/>
          <w:caps w:val="false"/>
          <w:smallCaps w:val="false"/>
          <w:sz w:val="20"/>
        </w:rPr>
        <w:t>”) are incorporated by reference in the registration statement of which this prospectus forms a part. You are encouraged to read the applicable provisions our Articles of Incorporation and Bylaws in their entirety for a complete description of the rights and preferences of our securities. See “Incorporation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authorized capital stock consists of 500,000,000 shares of Common Stock, par value $0.001 per share, and 50,000,000 shares of preferred stock, par value $0.001 per share. As of December 11, 2025, there were 29,605,150 shares of Common Stock outstanding. No shares of preferred stock have been issued or are outstanding. Unless our board of directors (the “</w:t>
      </w:r>
      <w:r>
        <w:rPr>
          <w:rFonts w:ascii="Times New Roman" w:hAnsi="Times New Roman"/>
          <w:i/>
          <w:caps w:val="false"/>
          <w:smallCaps w:val="false"/>
          <w:sz w:val="20"/>
        </w:rPr>
        <w:t>Board</w:t>
      </w:r>
      <w:r>
        <w:rPr>
          <w:rFonts w:ascii="Times New Roman" w:hAnsi="Times New Roman"/>
          <w:caps w:val="false"/>
          <w:smallCaps w:val="false"/>
          <w:sz w:val="20"/>
        </w:rPr>
        <w:t>”) determines otherwise, we will issue all shares of our capital stock in uncertificated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Holders of shares of Common Stock are entitled to one vote for each share held of record on all matters submitted to a vote of stockholders. The holders of Common Stock do not have cumulative voting rights in the election of directors. In the event of our liquidation, dissolution or winding up and after payment in full of all amounts required to be paid to creditors and to any future holders of preferred stock having liquidation preferences, if any, the holders of Common Stock will be entitled to receive pro rata our remaining assets available for distribution. Holders of Common Stock do not have preemptive, subscription, redemption or conversion rights. There are no redemption or sinking fund provisions applicable to the Common Stock. The rights, powers, preferences and privileges of holders of the Common Stock are subject to those of the holders of any shares of preferred stock that the Board may authorize and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terms of the Charter, our Board is authorized to direct us to issue shares of preferred stock in one or more series without stockholder approval. Our Board has the discretion to determine the rights, powers, preferences, privileges and restrictions, including voting rights, dividend rights, conversion rights, redemption privileges and liquidation preferences, of each series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purpose of authorizing our Board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the outstanding voting stock. Additionally, the issuance of preferred stock may adversely affect the holders of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 No shares of preferred stock are currently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Declaration and payment of any dividend is subject to the discretion of our Board. The time and amount of dividends is dependent upon, among other things,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our Board may regard as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currently intend to retain all available funds and any future earnings to fund the development and growth of our business, and therefore do not anticipate declaring or paying any cash dividends on Common Stock in the foreseeable future.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Anti-Takeover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Charter and Bylaws contain provisions that may delay, defer or discourage another party from acquiring control of us. We expect that these provisions, which are summarized below, will discourage coercive takeover practices or inadequate takeover bids.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provisions are also designed to encourage persons seeking to acquire control of us to first negotiate with our Board, which may result in an improvement of the terms of any such acquisition in favor of our stockholders. However, they also give our Board the power to discourage acquisitions that some stockholders may favor.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Authorized but Unissued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authorized but unissued shares of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Charter provides that our Board is divided into three classes of directors, with the classes to be as nearly equal in number as possible, and with each director serving a three-year term. As a result, approximately one-third of our Board will be elected each year. The classification of directors has the effect of making it more difficult for stockholders to change the composition of our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Stockholder Action; Special 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Charter provides that, if Jonathan Javitt and Daniel Javitt own at least a majority of the shares of the Common Stock, stockholders may not take action by written consent, but may only take action at annual or special meetings of stockholders. As a result, a holder controlling a majority of capital stock would not be able to amend the Bylaws or remove directors without holding a meeting of stockholders called in accordance with the Bylaws. Further, our Charter provides that only the chairperson of our Board, a majority of our Board, our Chief Executive Officer or our President may call special meetings of stockholders, thus prohibiting a stockholder from calling a special meeting. These provisions might delay the ability of stockholders to force consideration of a proposal or for stockholders controlling a majority of capital stock to take any action, including the removal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Advance Notice Requirements for Stockholder Proposals and Director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addition, our Bylaws establish an advance notice procedure for stockholder proposals to be brought before an annual meeting or special meeting of stockholders. Generally, in order for any matter to be “properly brought” before a meeting, the matter must be (a) specified in a notice of meeting given by or at the direction of our Board, (b) if not specified in a notice of meeting, otherwise brought before the meeting by our Board or the chairperson of the meeting, or (c) otherwise properly brought before the meeting by a stockholder present in person who (i) was a stockholder both at the time of giving the notice and at the time of the meeting, (ii) is entitled to vote at the meeting, and (iii) has complied with the advance notice procedures specified in our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(a) provide Timely Notice in writing and in proper form to the secretary and (b) provide any updates or supplements to such notice at the times and in the forms required by our Bylaws. To be timely, a stockholder’s notice must be delivered to, or mailed and received at, our principal executive offices not less than 90 days nor more than 120 days prior to the one-year anniversary of the preceding year’s annual meeting; </w:t>
      </w:r>
      <w:r>
        <w:rPr>
          <w:rFonts w:ascii="Times New Roman" w:hAnsi="Times New Roman"/>
          <w:i/>
          <w:caps w:val="false"/>
          <w:smallCaps w:val="false"/>
          <w:sz w:val="20"/>
        </w:rPr>
        <w:t>provided, however</w:t>
      </w:r>
      <w:r>
        <w:rPr>
          <w:rFonts w:ascii="Times New Roman" w:hAnsi="Times New Roman"/>
          <w:caps w:val="false"/>
          <w:smallCaps w:val="false"/>
          <w:sz w:val="20"/>
        </w:rPr>
        <w:t>, that if the date of the annual meeting is more than 30 days before or more than 60 days after such anniversary date, notice by the stockholder to be timely must be so delivered, or mailed and received, not later than the 90th day prior to such annual meeting or, if later, the 10th day following the day on which public disclosure of the date of such annual meeting was first made (such notice within such time periods, “</w:t>
      </w:r>
      <w:r>
        <w:rPr>
          <w:rFonts w:ascii="Times New Roman" w:hAnsi="Times New Roman"/>
          <w:i/>
          <w:caps w:val="false"/>
          <w:smallCaps w:val="false"/>
          <w:sz w:val="20"/>
        </w:rPr>
        <w:t>Timely Notice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Stockholders at an annual meeting or special meeting may only consider proposals or nominations specified in the notice of meeting or brought before the meeting by or at the direction of our Board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the outstanding voting securities until the next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Amendment of Charter or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Bylaws may be amended or repealed by a majority vote of our Board or by the holders of at least sixty-six and two-thirds percent (66⅔%) of the voting power of all of the then-outstanding shares entitled to vote generally in the election of directors, voting together as a single class. The affirmative vote of a majority of our Board and at least sixty-six and two-thirds percent (66⅔%) in voting power of the outstanding shares entitled to vote would be required to amend certain provisions of our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Limitations on Liability and Indemnification of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Charter and Bylaws provide indemnification and advancement of expenses for our directors and officers to the fullest extent permitted by the Delaware General Corporation Law, as amended (the “DGCL”), subject to certain limited exceptions. We have entered into indemnification agreements with each of our directors and officers. In some cases, the provisions of those indemnification agreements may be broader than the specific indemnification provisions contained under Delaware law. In addition, as permitted by Delaware law, our Charter and Bylaws include provisions that eliminate the personal liability of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These provisions may be held not to be enforceable for violations of the federal securities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Dissenters</w:t>
      </w:r>
      <w:r>
        <w:rPr>
          <w:rFonts w:ascii="Times New Roman" w:hAnsi="Times New Roman"/>
          <w:caps w:val="false"/>
          <w:smallCaps w:val="false"/>
          <w:sz w:val="20"/>
        </w:rPr>
        <w:t xml:space="preserve">’ </w:t>
      </w:r>
      <w:r>
        <w:rPr>
          <w:rFonts w:ascii="Times New Roman" w:hAnsi="Times New Roman"/>
          <w:b/>
          <w:caps w:val="false"/>
          <w:smallCaps w:val="false"/>
          <w:sz w:val="20"/>
        </w:rPr>
        <w:t>Rights of Appraisal and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DGCL, with certain exceptions, our stockholders have appraisal rights in connection with a merger or consolidation of our company. Pursuant to Section 262 of the DGCL, stockholders who properly demand and perfect appraisal rights in connection with such merger or consolidation have the right to receive payment of the fair value of their shares as determined by the Delaware Court of Chancery.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Stockholders</w:t>
      </w:r>
      <w:r>
        <w:rPr>
          <w:rFonts w:ascii="Times New Roman" w:hAnsi="Times New Roman"/>
          <w:caps w:val="false"/>
          <w:smallCaps w:val="false"/>
          <w:sz w:val="20"/>
        </w:rPr>
        <w:t xml:space="preserve">’ </w:t>
      </w:r>
      <w:r>
        <w:rPr>
          <w:rFonts w:ascii="Times New Roman" w:hAnsi="Times New Roman"/>
          <w:b/>
          <w:caps w:val="false"/>
          <w:smallCaps w:val="false"/>
          <w:sz w:val="20"/>
        </w:rPr>
        <w:t>Derivative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DGCL, any of our stockholders may bring an action in our name to procure a judgment in its favor, also known as a derivative action, provided that the stockholder bringing the action is a holder of the our shares at the time of the transaction to which the action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Forum Selection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Charter and Bylaws provide that unless we consent in writing to the selection of an alternative forum, the (a)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brought by a stockholder on our behalf, (ii) any action, suit or proceeding asserting a claim of breach of fiduciary duty owed by any of our directors, officers, stockholders to us or to our stockholders, (iii) any action, suit or proceeding asserting a claim arising pursuant to the DGCL, the Charter or the Bylaws, or (iv) any action, suit or proceeding asserting a claim governed by the internal affairs doctrine; and (b) subject to the foregoing, the federal district courts of the United States of America shall be the exclusive forum for the resolution of any complaint asserting a cause of action arising under the Securities Act. Notwithstanding the foregoing, such forum selection provisions shall not apply to suits brought to enforce any liability or duty created by the Exchange Act or any other claim for which the federal courts of the United States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Section 22 of the Securities Act creates concurrent jurisdiction for federal and state courts over all suits brought to enforce any duty or liability created by the Securities Act or the rules and regulations thereunder. As noted above, the Charter and the Bylaws will provide that the federal district courts of the United States of America shall have jurisdiction over any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transfer agent and registrar for the Common Stock is Continental Stock Transfer &amp; Trust Company, One State Street Plaza, New York, New York 10004.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Trading Symbol and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Common Stock is listed on Nasdaq under the symbol “NRXP” and certain of our warrants are listed on Nasdaq under the symbol “NRXPW”.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description of the terms of the debt securities sets forth certain general terms and provisions of the debt securities to which any prospectus supplement may relate. The particular terms of the debt securities offered by any prospectus supplement and the extent, if any, to which these general provisions may apply to those debt securities will be described in the prospectus supplement relating to those debt securities. Accordingly, for a description of the terms of a particular issue of debt securities, reference must be made to both the prospectus supplement relating thereto and to the following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issue debt securities from time to time in one or more series. The debt securities will be general obligations of NRx Pharmaceuticals, Inc. The debt securities may be fully and unconditionally guaranteed on a secured or unsecured senior or subordinated basis, jointly and severally, by guarantors, if any. In the event that any series of debt securities will be subordinated to other indebtedness that we have outstanding or may incur, the terms of the subordination will be set forth in the prospectus supplement relating to the subordinated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debt securities will be issued under a indenture between us and a trustee to be named in the applicable indenture. The following discussion of certain provisions of the indenture is a summary only and should not be considered a complete description of the terms and provisions of the indenture. Accordingly, the following discussion is qualified in its entirety by reference to the provisions of the indenture, including the definition of certain terms used below. The form of the indenture has been filed as an exhibit to the registration statement of which this prospectus forms a part and you should read the indenture for provisions that may be important to you.</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used in this section only, “Nrx,” “we,” “our” or “us” refer to NRx Pharmaceuticals, Inc. excluding our subsidiaries, unless expressly stated or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debt securities will represent direct, general obligations of NRx and:</w:t>
      </w:r>
    </w:p>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60"/>
        <w:gridCol w:w="170"/>
        <w:gridCol w:w="8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rank equally with other unsubordinated debt or may be subordinated to other debt we have or may incur;</w:t>
            </w:r>
          </w:p>
        </w:tc>
      </w:tr>
    </w:tbl>
    <w:p>
      <w:pPr>
        <w:pStyle w:val="TextBody"/>
        <w:bidi w:val="0"/>
        <w:spacing w:before="0" w:after="0"/>
        <w:ind w:left="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60"/>
        <w:gridCol w:w="170"/>
        <w:gridCol w:w="5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be issued in one or more series with the same or various maturities;</w:t>
            </w:r>
          </w:p>
        </w:tc>
      </w:tr>
    </w:tbl>
    <w:p>
      <w:pPr>
        <w:pStyle w:val="TextBody"/>
        <w:bidi w:val="0"/>
        <w:spacing w:before="0" w:after="0"/>
        <w:ind w:left="0" w:right="0" w:hanging="0"/>
        <w:jc w:val="both"/>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60"/>
        <w:gridCol w:w="170"/>
        <w:gridCol w:w="70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0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be issued at a price of 100% of their principal amount or at a premium or discount;</w:t>
            </w:r>
          </w:p>
        </w:tc>
      </w:tr>
    </w:tbl>
    <w:p>
      <w:pPr>
        <w:pStyle w:val="TextBody"/>
        <w:bidi w:val="0"/>
        <w:spacing w:before="0" w:after="0"/>
        <w:ind w:left="0" w:right="0" w:hanging="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8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be issued in registered or bearer form and certificated or uncertificated form;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be represented by one or more global debt securities registered in the name of a designated depositary’s nominee, and if so, beneficial interests in the global note will be shown on and transfers will be made only through records maintained by the designated depositary and its participants.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The aggregate principal amount of debt securities that we may authenticate and deliver is unlimited. Subject to limitations contained in the indenture, we may from time to time, without notice to or the consent of the holders of a series of debt securities, issue additional debt securities of any such series on the same terms and conditions as the debt securities of such series, except for any differences in the issue price and, if applicable, the initial interest accrual date and interest payment date; </w:t>
      </w:r>
      <w:r>
        <w:rPr>
          <w:rFonts w:ascii="Times New Roman" w:hAnsi="Times New Roman"/>
          <w:i/>
          <w:caps w:val="false"/>
          <w:smallCaps w:val="false"/>
          <w:sz w:val="20"/>
        </w:rPr>
        <w:t>provided</w:t>
      </w:r>
      <w:r>
        <w:rPr>
          <w:rFonts w:ascii="Times New Roman" w:hAnsi="Times New Roman"/>
          <w:caps w:val="false"/>
          <w:smallCaps w:val="false"/>
          <w:sz w:val="20"/>
        </w:rPr>
        <w:t xml:space="preserve"> that if the additional debt securities are not fungible with the debt securities of such series for U.S. federal income tax purposes, such additional debt securities will have one or more separate CUSIP numbers. You should refer to the applicable prospectus supplement for the following terms of the debt securities of the series with respect to which that prospectus supplement is being delivered: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title of the debt securities of the series (which will distinguish the debt securities of that particular series from the debt securities of any other series) and ranking (including the terms of any subordination provisions);</w:t>
            </w:r>
          </w:p>
        </w:tc>
      </w:tr>
    </w:tbl>
    <w:p>
      <w:pPr>
        <w:pStyle w:val="TextBody"/>
        <w:bidi w:val="0"/>
        <w:spacing w:before="0" w:after="0"/>
        <w:ind w:left="0" w:right="0" w:hanging="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60"/>
        <w:gridCol w:w="170"/>
        <w:gridCol w:w="7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7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price or prices of the debt securities of the series at which such debt securities will be issued;</w:t>
            </w:r>
          </w:p>
        </w:tc>
      </w:tr>
    </w:tbl>
    <w:p>
      <w:pPr>
        <w:pStyle w:val="TextBody"/>
        <w:bidi w:val="0"/>
        <w:spacing w:before="0" w:after="0"/>
        <w:ind w:left="0" w:right="0" w:hanging="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60"/>
        <w:gridCol w:w="170"/>
        <w:gridCol w:w="7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1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the debt securities are entitled to the benefit of any guarantee by any guarantor;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limit on the aggregate principal amount of the debt securities of the series that may be authenticated and delivered under the indenture (except for debt securities authenticated and delivered upon registration or transfer of, or in exchange for, or in lieu of, other debt securities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170"/>
        <w:gridCol w:w="91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1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or dates on which the principal and premium with respect to the debt securities of the series are payable;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person to whom any interest on a security of the series shall be payable if other than the person in whose name that security is registered at the close of business on the record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rate or rates (which may be fixed or variable) at which the debt securities of the series will bear interest (if any) or the method of determining such rate or rates (including, but not limited to, any commodity, commodity index, stock exchange index or financial index), the date or dates from which such interest, if any, will accrue, the interest payment dates on which such interest, if any, will be payable or the method by which such dates will be determined, the record dates for the determination of holders thereof to whom such interest is payable (in the case of securities in registered form), and the basis upon which interest will be calculated if other than that of a 360-day year of twelve 30-day months;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currency or currencies in which debt securities of the series will be denominated and/or in which payment of the principal, premium, if any, and interest of any of the securities shall be payable, if other than U.S. dollars, the place or places, if any, in addition to or instead of the corporate trust office of the trustee (in the case of securities in registered form) where the principal, premium and interest, if any, with respect to debt securities of the series will be payable, where notices and demands to or upon us in respect of the debt securities and the indenture may be delivered, and the method of such payment, if by wire transfer, mail or other means;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price or prices at which, the period or periods within which, and the terms and conditions upon which debt securities of the series may be redeemed, in whole or in part, at our option or otherwise;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debt securities of the series are to be issued as securities in registered form or securities in bearer form or both and, if securities in bearer form are to be issued, whether coupons will be attached to them, whether securities in bearer form of the series may be exchanged for securities in registered form of the series, and the circumstances under which and the places at which any such exchanges, if permitted, may be made;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any debt securities of the series are to be issued as securities in bearer form or as one or more global securities representing individual securities in bearer form of the series, whether certain provisions for the payment of additional interest or tax redemptions will apply; whether interest with respect to any portion of a temporary bearer security of the series payable with respect to any interest payment date prior to the exchange of such temporary bearer security for definitive securities in bearer form of the series will be paid to any clearing organization with respect to the portion of such temporary bearer security held for its account and, in such event, the terms and conditions (including any certification requirements) upon which any such interest payment received by a clearing organization will be credited to the persons entitled to interest payable on such interest payment date; and the terms upon which a temporary bearer security may be exchanged for one or more definitive securities in bearer form of the series;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obligation or right, if any, to redeem, purchase or repay debt securities of the series pursuant to any sinking fund or analogous provisions or at the option of a holder of such debt securities and the price or prices at which, the period or periods within which, and the terms and conditions upon which, debt securities of the series will be redeemed, purchased or repaid, in whole or in part, pursuant to such obligations;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terms, if any, upon which the debt securities of the series may be convertible into or exchanged for any issuer’s common stock, preferred stock, depositary shares, other debt securities or warrants for common stock, preferred stock, depositary shares, indebtedness or other securities of any kind and the terms and conditions upon which such conversion or exchange will be effected, including the initial conversion or exchange price or rate, the conversion or exchange period and any other additional provisions;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other than minimum denominations of $2,000 or any integral multiple of $1,000 in excess thereof, the denominations in which debt securities of the series will be issuable;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the amount of principal, premium or interest with respect to the debt securities of the series may be determined with reference to an index or pursuant to a formula, the manner in which such amounts will be determined;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the principal amount payable at the stated maturity of debt securities of the series will not be determinable as of any one or more dates prior to such stated maturity, the amount that will be deemed to be such principal amount as of any such date for any purpose, including the principal amount thereof which will be due and payable upon any maturity other than the stated maturity or which will be deemed to be outstanding as of any such date (or, in any such case, the manner in which such deemed principal amount is to be determined), and if necessary, the manner of determining the equivalent thereof in U.S. dollars;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60"/>
        <w:gridCol w:w="170"/>
        <w:gridCol w:w="6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changes or additions to the provisions of the indenture dealing with defeasance;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other than the principal amount thereof, the portion of the principal amount of debt securities of the series that will be payable upon declaration of acceleration of the maturity thereof or provable in bankruptcy;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terms, if any, of the transfer, mortgage, pledge or assignment as security for the debt securities of the series of any properties, assets, moneys, proceeds, securities or other collateral and any corresponding changes to provisions of the indenture as then in effect;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addition to or change in the events of default with respect to the debt securities of the series and any change in the right of the trustee or the holders to declare the principal, premium and interest, if any, with respect to such debt securities due and payable;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the debt securities of the series will be issued in whole or in part in the form of a global security, the terms and conditions, if any, upon which such global security may be exchanged in whole or in part for other individual debt securities in definitive registered form, the depositary (as defined in the applicable prospectus supplement) for such global security and the form of any legend or legends to be borne by any such global security in addition to or in lieu of the legend referred to in the indenture;</w:t>
            </w:r>
          </w:p>
        </w:tc>
      </w:tr>
    </w:tbl>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60"/>
        <w:gridCol w:w="170"/>
        <w:gridCol w:w="9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trustee, authenticating or paying agent, transfer agent or registrar or any other agent with respect to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applicability of, and any addition to, deletion of or change in, the covenants and definitions then set forth in the indenture or in the terms then set forth in the indenture relating to permitted consolidations, mergers or sales of assets;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terms, if any, of any guarantee of the payment of principal, premium and interest with respect to debt securities of the series and any corresponding changes to the provisions of the indenture as then in effect;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subordination, if any, of the debt securities of the series pursuant to the indenture and any changes or additions to the provisions of the indenture relating to subordination;</w:t>
            </w:r>
          </w:p>
        </w:tc>
      </w:tr>
    </w:tbl>
    <w:p>
      <w:pPr>
        <w:pStyle w:val="TextBody"/>
        <w:bidi w:val="0"/>
        <w:spacing w:before="0" w:after="0"/>
        <w:ind w:left="0" w:right="0" w:hanging="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60"/>
        <w:gridCol w:w="170"/>
        <w:gridCol w:w="9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 regard to debt securities of the series that do not bear interest, the dates for certain required reports to the trustee;</w:t>
            </w:r>
          </w:p>
        </w:tc>
      </w:tr>
    </w:tbl>
    <w:p>
      <w:pPr>
        <w:pStyle w:val="TextBody"/>
        <w:bidi w:val="0"/>
        <w:spacing w:before="0" w:after="0"/>
        <w:ind w:left="0" w:right="0" w:hanging="0"/>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60"/>
        <w:gridCol w:w="170"/>
        <w:gridCol w:w="6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4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provisions granting special rights to holders when a specified event occurs;</w:t>
            </w:r>
          </w:p>
        </w:tc>
      </w:tr>
    </w:tbl>
    <w:p>
      <w:pPr>
        <w:pStyle w:val="TextBody"/>
        <w:bidi w:val="0"/>
        <w:spacing w:before="0" w:after="0"/>
        <w:ind w:left="0" w:right="0" w:hanging="0"/>
        <w:jc w:val="both"/>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60"/>
        <w:gridCol w:w="170"/>
        <w:gridCol w:w="1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1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co-issuer;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place or places where the principal of and interest, if any, on the debt securities will be payable, where the debt securities may be surrendered for registration of transfer or exchange and where notices and demands to or upon us in respect of the debt securities and the indenture may be served, and the method of such payment, if by wire transfer, mail or other means; and</w:t>
            </w:r>
          </w:p>
        </w:tc>
      </w:tr>
    </w:tbl>
    <w:p>
      <w:pPr>
        <w:pStyle w:val="TextBody"/>
        <w:bidi w:val="0"/>
        <w:spacing w:before="0" w:after="0"/>
        <w:ind w:left="0" w:right="0" w:hanging="0"/>
        <w:jc w:val="both"/>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60"/>
        <w:gridCol w:w="170"/>
        <w:gridCol w:w="9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terms of the debt securities of the series (which terms will not be prohibited by the provisions of the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prospectus supplement will also describe any material U.S. federal income tax consequences or other special considerations applicable to the series of debt securities to which such prospectus supplement relates, including those applicable to:</w:t>
      </w:r>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60"/>
        <w:gridCol w:w="170"/>
        <w:gridCol w:w="2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0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in bearer form;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debt securities with respect to which payments of principal, premium or interest are determined with reference to an index or formula (including changes in prices of particular securities, currencies or commodities);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60"/>
        <w:gridCol w:w="170"/>
        <w:gridCol w:w="8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3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debt securities with respect to which principal or interest is payable in a foreign or composite currency;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debt securities that are issued at a discount below their stated principal amount, bearing no interest or interest at a rate that at the time of issuance is below market rates or original issue discount debt securities; and</w:t>
            </w:r>
          </w:p>
        </w:tc>
      </w:tr>
    </w:tbl>
    <w:p>
      <w:pPr>
        <w:pStyle w:val="TextBody"/>
        <w:bidi w:val="0"/>
        <w:spacing w:before="0" w:after="0"/>
        <w:ind w:left="0" w:right="0" w:hanging="0"/>
        <w:jc w:val="both"/>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rate debt securities that are exchangeable for fixed rate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provided in the applicable prospectus supplement, securities in registered form may be transferred or exchanged at the office of the trustee at which its corporate trust business is principally administered in the United States, subject to the limitations provided in the indenture, without the payment of any service charge, other than any tax or governmental charge payable in connection therewith. Securities in bearer form will be transferable only by delivery. Provisions with respect to the exchange of securities in bearer form will be described in the prospectus supplement relating to those securities in bearer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funds that we pay to a paying agent for the payment of principal, premium or interest with respect to any debt securities that remain unclaimed at the end of two years after that principal, premium or interest will have become due and payable will be repaid to us, and the holders of those debt securities or any related coupons will thereafter look only to us for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debt securities of a series may be issued in whole or in part in the form of one or more global securities. A global security is a debt security that represents, and is denominated in an amount equal to the aggregate principal amount of, all outstanding debt securities of a series, or any portion thereof, in either case having the same terms, including the same original issue date, date or dates on which principal and interest are due, and interest rate or method of determining interest. A global security will be deposited with, or on behalf of, a depositary, which will be identified in the prospectus supplement relating to such debt securities. Global securities may be issued in either registered or bearer form and in either temporary or definitive form. Unless and until it is exchanged in whole or in part for the individual debt securities represented thereby, a global security may not be transferred except as a whole by the depositary to a nominee of the depositary, by a nominee of the depositary to the depositary or another nominee of the depositary, or by the depositary or any nominee of the depositary to a successor depositary or any nominee of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terms of the depositary arrangement with respect to a series of debt securities will be described in the prospectus supplement relating to such debt securities. We anticipate that the following provisions will generally apply to depositary arrangements, in all cases subject to any restrictions or limitations described in the prospectus supplement relating to such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the issuance of a global security, the depositary for such global security will credit, on its book entry registration and transfer system, the respective principal amounts of the individual debt securities represented by such global security to the accounts of persons that have accounts with the depositary. Such accounts will be designated by the dealers or underwriters with respect to such debt securities or, if such debt securities are offered and sold directly by us or through one or more agents, by us or such agents. Ownership of beneficial interests in a global security will be limited to participants or persons that hold beneficial interests through participants. Ownership of beneficial interests in such global security will be shown on, and the transfer of that ownership will be effected only through, records maintained by the depositary (with respect to interests of participants) or records maintained by participants (with respect to interests of persons other than participants). The laws of some states require that certain purchasers of securities take physical delivery of such securities in definitive form. Such limitations and laws may impair the ability to transfer beneficial interests in a global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 long as the depositary for a global security, or its nominee, is the registered owner or holder of such global security, such depositary or nominee, as the case may be, will be considered the sole owner or holder of the individual debt securities represented by such global security for all purposes under the indenture. Except as provided below, owners of beneficial interests in a global security will not be entitled to have any of the individual debt securities represented by such global security registered in their names, will not receive or be entitled to receive physical delivery of any of such debt securities in definitive form and will not be considered the owners or holders thereof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Payments of principal, premium and interest with respect to individual debt securities represented by a global security will be made to the depositary or its nominee, as the case may be, as the registered owner or holder of such global security. Neither we, the trustee, any paying agent or registrar for such debt securities nor any agent of ours or the trustee will have any responsibility or liability for: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aspect of the records relating to or payments made by the depositary, its nominee or any participants on account of beneficial interests in the global security or for maintaining, supervising or reviewing any records relating to such beneficial interests;</w:t>
            </w:r>
          </w:p>
        </w:tc>
      </w:tr>
    </w:tbl>
    <w:p>
      <w:pPr>
        <w:pStyle w:val="TextBody"/>
        <w:bidi w:val="0"/>
        <w:spacing w:before="0" w:after="0"/>
        <w:ind w:left="0" w:right="0" w:hanging="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60"/>
        <w:gridCol w:w="170"/>
        <w:gridCol w:w="9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payment to the owners of beneficial interests in the global security of amounts paid to the depositary or its nominee; or</w:t>
            </w:r>
          </w:p>
        </w:tc>
      </w:tr>
    </w:tbl>
    <w:p>
      <w:pPr>
        <w:pStyle w:val="TextBody"/>
        <w:bidi w:val="0"/>
        <w:spacing w:before="0" w:after="0"/>
        <w:ind w:left="0" w:right="0" w:hanging="0"/>
        <w:jc w:val="both"/>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60"/>
        <w:gridCol w:w="170"/>
        <w:gridCol w:w="8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2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matter relating to the actions and practices of the depositary, its nominee or its participants.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Neither we, the trustee, any paying agent or registrar for such debt securities nor any agent of ours or the trustee will be liable for any delay by the depositary, its nominee or any of its participants in identifying the owners of beneficial interests in the global security, and we and the trustee may conclusively rely on, and will be protected in relying on, instructions from the depositary or its nominee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that the depositary for a series of debt securities or its nominee, upon receipt of any payment of principal, premium or interest with respect to a definitive global security representing any of such debt securities, will immediately credit participants’ accounts with payments in amounts proportionate to their respective beneficial interests in the principal amount of such global security, as shown on the records of the depositary or its nominee. We also expect that payments by participants to owners of beneficial interests in such global security held through such participants will be governed by standing instructions and customary practices, as is now the case with securities held for the accounts of customers and registered in “street name.” Such payments will be the responsibility of such participants. See “— Limitations on Issuance of Securities in Bearer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depositary for a series of debt securities is at any time unwilling, unable or ineligible to continue as depositary, we will appoint a successor depositary. If a successor depositary is not appointed by us within 90 days, we will issue individual debt securities of such series in exchange for the global security representing such series of debt securities. In addition, we may at any time and in our sole discretion determine to no longer have debt securities of a series represented by a global security and, in such event, will issue individual debt securities of such series in exchange for the global security representing such series of debt securities. Furthermore, if we so specify with respect to the debt securities of a series, an owner of a beneficial interest in a global security representing debt securities of such series may, on terms acceptable to us, the trustee and the depositary for such global security, receive individual debt securities of such series in exchange for such beneficial interests. In any such instance, an owner of a beneficial interest in a global security will be entitled to physical delivery of individual debt securities of the series represented by such global security equal in principal amount to such beneficial interest and to have such debt securities registered in its name (if the debt securities are issuable as securities in registered form). Individual debt securities of such series so issued generally will be issued: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securities in registered form in minimum denominations, unless otherwise specified by us, of $2,000 and any integral multiples of $1,000 in excess thereof if the debt securities are issuable as securities in registered form;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securities in bearer form in the denomination or denominations specified by us if the debt securities are issuable as securities in bearer form;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as either securities in registered form or securities in bearer form as described above if the debt securities are issuable in either 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Limitations on Issuance of Securities in Bearer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debt securities of a series may be issued as securities in registered form (which will be registered as to principal and interest in the register maintained by the registrar for such debt securities) or securities in bearer form (which will be transferable only by delivery). If such debt securities are issuable as securities in bearer form, the applicable prospectus supplement will describe certain special limitations and considerations that will apply to such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debt securities are issued, the indenture, as supplemented for a particular series of debt securities, will contain certain covenants for the benefit of the holders of such series of debt securities, which will be applicable (unless waived or amended) so long as any of the debt securities of such series are outstanding, unless stated otherwise in the prospectus supplement. The specific terms of the covenants, and summaries thereof, will be set forth in the prospectus supplement relating to such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Subordination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Debt securities of a series and any guarantees, may be subordinated, which we refer to as subordinated debt securities, to senior indebtedness (as defined in the applicable prospectus supplement) to the extent set forth in the prospectus supplement relating thereto. To the extent we conduct operations through subsidiaries, the holders of debt securities (whether or not subordinated debt securities) will be structurally subordinated to the creditors of our subsidiaries, except to the extent such subsidiary is a guarantor of such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of the following will constitute an event of default under the form of indenture with respect to any series of debt securities: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default in payment of the principal amount of the debt securities of that series, when such amount becomes due and payable at maturity, upon acceleration, required redemption or otherwise;</w:t>
            </w:r>
          </w:p>
        </w:tc>
      </w:tr>
    </w:tbl>
    <w:p>
      <w:pPr>
        <w:pStyle w:val="TextBody"/>
        <w:bidi w:val="0"/>
        <w:spacing w:before="0" w:after="0"/>
        <w:ind w:left="0" w:right="0" w:hanging="0"/>
        <w:jc w:val="both"/>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60"/>
        <w:gridCol w:w="170"/>
        <w:gridCol w:w="71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1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pay interest on the debt securities of that series within 30 days of the due date;</w:t>
            </w:r>
          </w:p>
        </w:tc>
      </w:tr>
    </w:tbl>
    <w:p>
      <w:pPr>
        <w:pStyle w:val="TextBody"/>
        <w:bidi w:val="0"/>
        <w:spacing w:before="0" w:after="0"/>
        <w:ind w:left="0" w:right="0" w:hanging="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60"/>
        <w:gridCol w:w="170"/>
        <w:gridCol w:w="7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7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comply with the obligations described under “— Mergers and Sales of Assets” below;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failure to comply for 90 days after notice with any of our other agreements in the debt securities of that series or the indenture or supplemental indenture related to that series of debt securities; or</w:t>
            </w:r>
          </w:p>
        </w:tc>
      </w:tr>
    </w:tbl>
    <w:p>
      <w:pPr>
        <w:pStyle w:val="TextBody"/>
        <w:bidi w:val="0"/>
        <w:spacing w:before="0" w:after="0"/>
        <w:ind w:left="0" w:right="0" w:hanging="0"/>
        <w:jc w:val="both"/>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60"/>
        <w:gridCol w:w="170"/>
        <w:gridCol w:w="57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certain events of bankruptcy, insolvency or reorganization affecting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prospectus supplement may omit, modify or add to the foregoing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 event of default under one series of debt securities does not necessarily constitute an event of default under any other series of debt securities. A default under the fourth bullet above will not constitute an event of default until the trustee notifies us or the holders of 30% in principal amount of the outstanding debt securities of such series notify us and the trustee of the default and we do not cure such default within the time specified after receipt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any event of default (other than an event of default relating to certain events of bankruptcy, insolvency or reorganization) occurs and is continuing with respect to a particular series of debt securities, either the trustee or the holders of not less than 30% in aggregate principal amount of the debt securities of that series then outstanding by written notice to us (and to the trustee if such notice is given by the holders), may declare the principal amount of (or in the case of original issue discount debt securities, the portion thereby specified in the terms thereof), and accrued interest on the debt securities of that series to be immediately due and payable. In the case of certain events of bankruptcy, insolvency or reorganization, the principal amount of, and accrued interest on the debt securities of that series will automatically become and be immediately due and payable without any declaration or other act on the part of the trustee or any holders. Upon a declaration by the trustee or the holders, we will be obligated to pay the principal amount plus accrued and unpaid interest of each affected series of debt securities so declared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holders of a majority in aggregate principal amount of the debt securities of any series then outstanding by notice to the trustee under the indenture may on behalf of the holders of all of such series of debt securities waive any existing default or event of default and its consequences under the applicable indenture except a continuing default or event of default in the payment of interest on, or the principal of, the debt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the provisions of the indenture relating to the duties of the trustee in case an event of default will occur and be continuing, the trustee will be under no obligation to exercise any of its rights or powers under the indenture or debt securities at the request or direction of any of the holders of any series of debt securities, unless such holders have offered to the trustee indemnity or security satisfactory to the trustee against any cost, loss, liability or expense. Subject to such provisions for the indemnification of the trustee, the holders of at least a majority in aggregate principal amount of the outstanding debt securities of a series have the right to direct the time, method and place of conducting any proceeding for any remedy available to the trustee or exercising any trust or power conferred on the trustee with respect to such series of debt securities. The trustee, however, may refuse to follow any direction that conflicts with law or the indenture or that the trustee determines is unduly prejudicial to the rights of any other holder of such series of debt securities (it being understood that the trustee does not have an affirmative duty to ascertain whether or not any such direction unduly prejudices the rights of such holders) or that would involve the trustee in personal liability. Prior to taking any action under the indenture, the trustee will be entitled to indemnification satisfactory to it in its sole discretion against all costs, losses, liabilities and expenses caused by taking or not taking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to enforce the right to receive payment of principal, premium, if any, or interest when due, no holder of debt securities of a series has any right to institute any proceeding with respect to the indenture or debt securities, or for the appointment of a receiver or a trustee, or for any other remedy thereunder,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such holder has previously given to the trustee written notice of a continuing event of default with respect to such series of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holder or holders of at least 30% in aggregate principal amount of the outstanding debt securities of that series have made written request, and such holder or holders have offered security or indemnity satisfactory to the trustee against any loss, liability or expense, to the trustee to institute such proceeding as trustee;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trustee has failed to institute such proceeding, and has not received from the holders of a majority in aggregate principal amount of the outstanding debt securities of that series a direction inconsistent with such request, within 60 days after such notice, request and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However, such limitations do not apply to a suit instituted by a holder of a debt security of such series for the enforcement of payment of the principal, premium, if any, or interest on such debt security on or after the applicable due date specified in such debt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indenture will provide that if a default with respect to a series of debt securities occurs and is continuing and is actually known to a trust officer of the trustee, the trustee must send to each holder of such debt securities notice of the default within 90 days after it is actually known to a trust officer of the trustee. Except in the case of a default in the payment of the principal or premium, if any, upon acceleration, redemption or otherwise with respect to any debt security of a series when such amount becomes due and payable, the trustee may withhold notice if and so long as a committee of its trust officers in good faith determines that withholding notice is not opposed to the interests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indenture will require us to furnish to the trustee, within 120 days after the end of each fiscal year, a statement by certain of our officers as to whether or not we, to their knowledge, are in default in the performance or observance of any of the terms, provisions and conditions of the indenture and, if so, specifying all such known defaults. We will also be required to deliver to the trustee, within 30 days after the occurrence thereof, written notice of any event which would constitute a default;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failure to provide such written notice will not in and of itself result in a default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Street name and other indirect holders should consult their banks and brokers for information on their requirements for giving notice or taking other actions upon a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Modification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Subject to certain exceptions, modifications and amendments of the indenture, any supplemental indenture and any series of debt securities may be made by us and the trustee with the consent of the holders of at least a majority in aggregate principal amount of the outstanding debt securities of any series affected by such modification or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 such modification or amendment may, without the consent of each holder affected thereby: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reduce the percentage of principal amount of the outstanding debt securities, the consent of whose holders is required for any amendment;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reduce the principal amount of, or interest on, or extend the Stated Maturity or interest payment periods of, any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60"/>
        <w:gridCol w:w="170"/>
        <w:gridCol w:w="6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 the provisions applicable to the redemption of any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60"/>
        <w:gridCol w:w="170"/>
        <w:gridCol w:w="81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make any debt securities payable in money or securities other than those stated in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impair the contractual right of any holder of the debt securities to receive payment of principal of and interest on such holder’s debt securities on or after the due dates therefor or to institute suit for the enforcement of any payment on or with respect to such holder’s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except as otherwise provided as described under “— Satisfaction and Discharge” and “— Defeasance” herein, release any security or guarantee that may have been granted with respect to any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case of any subordinated securities, or coupons appertaining thereto, make any change in the provisions of the indenture relating to subordination that adversely affects the rights of any holder under such provisions (including any contractual subordination of senior unsubordinated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60"/>
        <w:gridCol w:w="170"/>
        <w:gridCol w:w="89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make any change in the amendment provisions which require each holder’s consent or in the waiver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Without the consent of any holder, we and the trustee may amend the indenture for one or more of the following purposes:</w:t>
      </w:r>
    </w:p>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60"/>
        <w:gridCol w:w="170"/>
        <w:gridCol w:w="4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cure any ambiguity, omission, defect or inconsistency;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to surrender any right or power conferred upon the Company by the indenture, to add to the covenants of the Company such further covenants, restrictions, conditions or provisions for the protection of the holders of all or any series of debt securities as the board of directors of the Company will consider to be for the protection of the holders of such debt securities, and to make the occurrence, or the occurrence and continuance, of a default in respect of any such additional covenants, restrictions, conditions or provisions a default or an event of default under the indenture; </w:t>
            </w:r>
            <w:r>
              <w:rPr>
                <w:rFonts w:ascii="Times New Roman;Times;serif" w:hAnsi="Times New Roman;Times;serif"/>
                <w:i/>
                <w:caps w:val="false"/>
                <w:smallCaps w:val="false"/>
                <w:sz w:val="20"/>
              </w:rPr>
              <w:t>provided</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however</w:t>
            </w:r>
            <w:r>
              <w:rPr>
                <w:rFonts w:ascii="Times New Roman;Times;serif" w:hAnsi="Times New Roman;Times;serif"/>
                <w:caps w:val="false"/>
                <w:smallCaps w:val="false"/>
                <w:sz w:val="20"/>
              </w:rPr>
              <w:t>, that with respect to any such additional covenant, restriction, condition or provision, such amendment may provide for a period of grace after default, which may be shorter or longer than that allowed in the case of other defaults, may provide for an immediate enforcement upon such default, may limit the remedies available to the trustee upon such default or may limit the right of holders of a majority in aggregate principal amount of the debt securities of any series to waive such default;</w:t>
            </w:r>
          </w:p>
        </w:tc>
      </w:tr>
    </w:tbl>
    <w:p>
      <w:pPr>
        <w:pStyle w:val="TextBody"/>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provide for the assumption by a successor company of the obligations of the Company under the indenture;</w:t>
            </w:r>
          </w:p>
        </w:tc>
      </w:tr>
    </w:tbl>
    <w:p>
      <w:pPr>
        <w:pStyle w:val="TextBody"/>
        <w:bidi w:val="0"/>
        <w:spacing w:before="0" w:after="0"/>
        <w:ind w:left="0" w:right="0" w:hanging="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60"/>
        <w:gridCol w:w="170"/>
        <w:gridCol w:w="6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7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add guarantees with respect to the debt securities or to secure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60"/>
        <w:gridCol w:w="170"/>
        <w:gridCol w:w="9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make any change that does not adversely affect in any material respect the rights of any holder of the debt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add to, change, or eliminate any of the provisions of the indenture with respect to one or more series of debt securities, so long as any such addition, change or elimination not otherwise permitted under the indenture will (a) neither apply to any debt securities of any series created prior to the execution of such supplemental indenture and entitled to the benefit of such provision nor modify the rights of the holders of any such debt securities with respect to the benefit of such provision or (b) become effective only when there is no such debt securities outstanding;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evidence and provide for the acceptance of appointment by a successor or separate trustee with respect to the debt securities of one or more series and to add to or change any of the provisions of the indenture as shall be necessary to provide for or facilitate the administration of the indenture by more than one trustee;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add or to change any of the provisions of the indenture to provide that debt securities in bearer form may be registrable as to principal, to change or eliminate any restrictions on the payment of principal or premium with respect to debt securities in registered form or of principal, premium or interest with respect to debt securities in bearer form, or to permit debt securities in registered form to be exchanged for debt securities in bearer form, so as to not adversely affect the interests of the holders of debt securities or any coupons of any series in any material respect or permit or facilitate the issuance of debt securities of any series in uncertificated 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the case of subordinated debt securities, to make any change in the provisions of the indenture or any supplemental indenture relating to subordination that would limit or terminate the benefits available to any holder of senior Indebtedness under such provisions (but only if each such holder of senior Indebtedness consents to such change);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comply with any requirement of the SEC in connection with the qualification of the indenture or any supplemental indenture under the Trust Indenture Act;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conform any provision in the indenture or the debt securities to the description of any debt securities in an offering document;</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60"/>
        <w:gridCol w:w="170"/>
        <w:gridCol w:w="46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6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approve a particular form of any proposed amendment;</w:t>
            </w:r>
          </w:p>
        </w:tc>
      </w:tr>
    </w:tbl>
    <w:p>
      <w:pPr>
        <w:pStyle w:val="TextBody"/>
        <w:bidi w:val="0"/>
        <w:spacing w:before="0" w:after="0"/>
        <w:ind w:left="0" w:right="0" w:hanging="0"/>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60"/>
        <w:gridCol w:w="170"/>
        <w:gridCol w:w="5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5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provide for the issuance of additional debt securities of any series;</w:t>
            </w:r>
          </w:p>
        </w:tc>
      </w:tr>
    </w:tbl>
    <w:p>
      <w:pPr>
        <w:pStyle w:val="TextBody"/>
        <w:bidi w:val="0"/>
        <w:spacing w:before="0" w:after="0"/>
        <w:ind w:left="0" w:right="0" w:hanging="0"/>
        <w:jc w:val="both"/>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0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establish the form or terms of debt securities and coupons of any series pursuant to the indenture;</w:t>
            </w:r>
          </w:p>
        </w:tc>
      </w:tr>
    </w:tbl>
    <w:p>
      <w:pPr>
        <w:pStyle w:val="TextBody"/>
        <w:bidi w:val="0"/>
        <w:spacing w:before="0" w:after="0"/>
        <w:ind w:left="0" w:right="0" w:hanging="0"/>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60"/>
        <w:gridCol w:w="170"/>
        <w:gridCol w:w="44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comply with the rules of any applicable depositary;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to make any amendment to the provisions of the indenture relating to the transfer and legending of debt securities; </w:t>
            </w:r>
            <w:r>
              <w:rPr>
                <w:rFonts w:ascii="Times New Roman;Times;serif" w:hAnsi="Times New Roman;Times;serif"/>
                <w:i/>
                <w:caps w:val="false"/>
                <w:smallCaps w:val="false"/>
                <w:sz w:val="20"/>
              </w:rPr>
              <w:t>provided</w:t>
            </w:r>
            <w:r>
              <w:rPr>
                <w:rFonts w:ascii="Times New Roman;Times;serif" w:hAnsi="Times New Roman;Times;serif"/>
                <w:caps w:val="false"/>
                <w:smallCaps w:val="false"/>
                <w:sz w:val="20"/>
              </w:rPr>
              <w:t xml:space="preserve">, </w:t>
            </w:r>
            <w:r>
              <w:rPr>
                <w:rFonts w:ascii="Times New Roman;Times;serif" w:hAnsi="Times New Roman;Times;serif"/>
                <w:i/>
                <w:caps w:val="false"/>
                <w:smallCaps w:val="false"/>
                <w:sz w:val="20"/>
              </w:rPr>
              <w:t>however</w:t>
            </w:r>
            <w:r>
              <w:rPr>
                <w:rFonts w:ascii="Times New Roman;Times;serif" w:hAnsi="Times New Roman;Times;serif"/>
                <w:caps w:val="false"/>
                <w:smallCaps w:val="false"/>
                <w:sz w:val="20"/>
              </w:rPr>
              <w:t>, that (a) compliance with the indenture as so amended would not result in debt securities being transferred in violation of the Securities Act or any other applicable securities law and (b) such amendment does not materially and adversely affect the rights of holders of debt securities to transfer debt securities;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convey, transfer, assign, mortgage or pledge any property to or with the trustee, or to make such other provisions in regard to matters or questions arising under the indenture as shall not adversely affect, in any material respect, the interests of any holders of debt securities of any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Mergers and Sales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indenture will provide that we will not consolidate with or merge with or into, or convey, transfer or lease in one transaction or a series of related transactions, directly or indirectly, all or substantially all of our properties and assets to, another person, unless (i) the resulting, surviving or transferee person, if not NRX Pharmaceuticals, Inc., is a person organized and existing under the laws of the United States of America, any state thereof or the District of Columbia; (ii) immediately after giving effect to such transaction, no default or event of default has occurred and is continuing under the indenture; (iii) the resulting, surviving or transferee person, if not NRX Pharmaceuticals, Inc., expressly assumes by supplemental indenture in a form satisfactory to the trustee all of our obligations under the debt securities and the indenture; and (iv) we or the successor person has delivered to the trustee the certificates and opinions of counsel required under the indenture. Upon any such consolidation, merger or transfer, the resulting, surviving or transferee person shall succeed to, and may exercise every right and power of, NRX Pharmaceuticals, Inc.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Satisfaction and Discharge of the Indenture;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provided for in the prospectus supplement, the indenture will generally cease to be of any further effect with respect to a series of debt securities if (a) we have delivered to the trustee for cancellation all debt securities of such series (with certain limited exceptions) or (b) all debt securities and coupons of such series not theretofore delivered to the trustee for cancellation will have become due and payable, or are by their terms to become due and payable within one year or are to be called for redemption within one year, and we will have irrevocably deposited with the trustee as trust funds the entire amount sufficient to pay at maturity or upon redemption all such debt securities and coupons (and if, in either case, we will also pay or cause to be paid all other sums payable under the indenture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we will have a “legal defeasance option” ​(pursuant to which we may terminate, with respect to the debt securities of a particular series, all of our obligations under such debt securities and the indenture with respect to such debt securities) and a “covenant defeasance option” ​(pursuant to which we may terminate, with respect to the debt securities of a particular series, our obligations with respect to such debt securities under certain specified covenants contained in the indenture). If we exercise our legal defeasance option with respect to a series of debt securities, payment of such debt securities may not be accelerated because of an event of default. If we exercise our covenant defeasance option with respect to a series of debt securities, payment of such debt securities may not be accelerated because of an event of default related to the specified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applicable prospectus supplement will describe the procedures we must follow in order to exercise our defeasance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Regarding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indenture will provide that, except during the continuance of an event of default, the trustee will perform only such duties as are specifically set forth in the indenture. During the existence of an event of default, the trustee may exercise such rights and powers vested in it under the indenture and use the same degree of care and skill in its exercise as a prudent person would exercise under the circumstances in the conduct of such person’s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indenture and provisions of the Trust Indenture Act that are incorporated by reference therein will contain limitations on the rights of the trustee, should it become one of our creditors, to obtain payment of claims in certain cases or to realize on certain property received by it in respect of any such claim as security or otherwise. The trustee will be permitted to engage in other transactions with us or any of our affiliates;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if it acquires any conflicting interest (as defined in the indenture or in the Trust Indenture Act), it must eliminate such conflict, apply to the SEC for permission to continue, or resign.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indenture and the debt securities will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THE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depositary shares will be evidenced by depositary receipts issued pursuant to the deposit agreement. Depositary receipts will be distributed to those persons purchasing the fractional shares of the related series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Dividends and Other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of a distribution other than in cash, the depositary will distribute property received by it to the record holders of depositary shares entitled thereto in proportion to the number of depositary shares owned by the holders, unless the depositary determines that the distribution cannot be made proportionately among the holders or that it is not feasible to make the distributions, in which case the depositary may, with our approval, adopt any 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amount distributed in any of the foregoing cases will be reduced by any amounts required to be withheld by us or the depositary on account of taxes or other governmental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Redemption of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Voting the Underlying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Withdrawal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 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 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Amendment and Termination of a Deposit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Charges of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Resignation and Removal of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depositary will forward to the holders of depositary shares all reports and communications from us that are delivered to the depositary and which we are required to furnish to the holders of the related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description of the terms of the warrants sets forth certain general terms and provisions of the warrants to which any prospectus supplement may relate. We may issue warrants for the purchase of common stock, preferred stock, debt securities or depositary shares. Warrants may be issued independently or together with common stock, preferred stock, debt securities or depositary shares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Debt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prospectus supplement relating to a particular issue of debt warrants will describe the terms of such debt warrants, including the following:</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60"/>
        <w:gridCol w:w="170"/>
        <w:gridCol w:w="2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4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title of such debt warrants;</w:t>
            </w:r>
          </w:p>
        </w:tc>
      </w:tr>
    </w:tbl>
    <w:p>
      <w:pPr>
        <w:pStyle w:val="TextBody"/>
        <w:bidi w:val="0"/>
        <w:spacing w:before="0" w:after="0"/>
        <w:ind w:left="0" w:right="0" w:hanging="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60"/>
        <w:gridCol w:w="170"/>
        <w:gridCol w:w="3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8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offering price for such debt warrants, if any;</w:t>
            </w:r>
          </w:p>
        </w:tc>
      </w:tr>
    </w:tbl>
    <w:p>
      <w:pPr>
        <w:pStyle w:val="TextBody"/>
        <w:bidi w:val="0"/>
        <w:spacing w:before="0" w:after="0"/>
        <w:ind w:left="0" w:right="0" w:hanging="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60"/>
        <w:gridCol w:w="170"/>
        <w:gridCol w:w="3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aggregate number of such debt warrants;</w:t>
            </w:r>
          </w:p>
        </w:tc>
      </w:tr>
    </w:tbl>
    <w:p>
      <w:pPr>
        <w:pStyle w:val="TextBody"/>
        <w:bidi w:val="0"/>
        <w:spacing w:before="0" w:after="0"/>
        <w:ind w:left="0" w:right="0" w:hanging="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60"/>
        <w:gridCol w:w="170"/>
        <w:gridCol w:w="7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8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designation and terms of the debt securities purchasable upon exercise of such debt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applicable, the designation and terms of the debt securities with which such debt warrants are issued and the number of such debt warrants issued with each such debt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applicable, the date from and after which such debt warrants and any debt securities issued therewith will be separately transferable;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principal amount of debt securities purchasable upon exercise of a debt warrant and the price at which such principal amount of debt securities may be purchased upon exercise (which price may be payable in cash, securities or other property);</w:t>
            </w:r>
          </w:p>
        </w:tc>
      </w:tr>
    </w:tbl>
    <w:p>
      <w:pPr>
        <w:pStyle w:val="TextBody"/>
        <w:bidi w:val="0"/>
        <w:spacing w:before="0" w:after="0"/>
        <w:ind w:left="0" w:right="0" w:hanging="0"/>
        <w:jc w:val="both"/>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60"/>
        <w:gridCol w:w="170"/>
        <w:gridCol w:w="9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on which the right to exercise such debt warrants shall commence and the date on which such right shall expire;</w:t>
            </w:r>
          </w:p>
        </w:tc>
      </w:tr>
    </w:tbl>
    <w:p>
      <w:pPr>
        <w:pStyle w:val="TextBody"/>
        <w:bidi w:val="0"/>
        <w:spacing w:before="0" w:after="0"/>
        <w:ind w:left="0" w:right="0" w:hanging="0"/>
        <w:jc w:val="both"/>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170"/>
        <w:gridCol w:w="8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applicable, the minimum or maximum amount of such debt warrants that may be exercised at any one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whether the debt warrants represented by the debt warrant certificates or debt securities that may be issued upon exercise of the debt warrants will be issued in registered or bearer form;</w:t>
            </w:r>
          </w:p>
        </w:tc>
      </w:tr>
    </w:tbl>
    <w:p>
      <w:pPr>
        <w:pStyle w:val="TextBody"/>
        <w:bidi w:val="0"/>
        <w:spacing w:before="0" w:after="0"/>
        <w:ind w:left="0" w:right="0" w:hanging="0"/>
        <w:jc w:val="both"/>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60"/>
        <w:gridCol w:w="170"/>
        <w:gridCol w:w="4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with respect to book-entry procedures, if any;</w:t>
            </w:r>
          </w:p>
        </w:tc>
      </w:tr>
    </w:tbl>
    <w:p>
      <w:pPr>
        <w:pStyle w:val="TextBody"/>
        <w:bidi w:val="0"/>
        <w:spacing w:before="0" w:after="0"/>
        <w:ind w:left="0" w:right="0" w:hanging="0"/>
        <w:jc w:val="both"/>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0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currency or currency units in which the offering price, if any, and the exercise price are payable;</w:t>
            </w:r>
          </w:p>
        </w:tc>
      </w:tr>
    </w:tbl>
    <w:p>
      <w:pPr>
        <w:pStyle w:val="TextBody"/>
        <w:bidi w:val="0"/>
        <w:spacing w:before="0" w:after="0"/>
        <w:ind w:left="0" w:right="0" w:hanging="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0"/>
        <w:gridCol w:w="170"/>
        <w:gridCol w:w="6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applicable, a discussion of material United States federal income tax considerations;</w:t>
            </w:r>
          </w:p>
        </w:tc>
      </w:tr>
    </w:tbl>
    <w:p>
      <w:pPr>
        <w:pStyle w:val="TextBody"/>
        <w:bidi w:val="0"/>
        <w:spacing w:before="0" w:after="0"/>
        <w:ind w:left="0" w:right="0" w:hanging="0"/>
        <w:jc w:val="both"/>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170"/>
        <w:gridCol w:w="5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antidilution or adjustment provisions of such debt warrants, if any;</w:t>
            </w:r>
          </w:p>
        </w:tc>
      </w:tr>
    </w:tbl>
    <w:p>
      <w:pPr>
        <w:pStyle w:val="TextBody"/>
        <w:bidi w:val="0"/>
        <w:spacing w:before="0" w:after="0"/>
        <w:ind w:left="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60"/>
        <w:gridCol w:w="170"/>
        <w:gridCol w:w="6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redemption or call provisions, if any, applicable to such debt warrants;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additional terms of such debt warrants, including terms, procedures, and limitations relating to the exchange and exercise of such debt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prospectus supplement relating to any particular issue of common stock warrants, preferred stock warrants or depositary share warrants will describe the terms of such warrants, including the following:</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60"/>
        <w:gridCol w:w="170"/>
        <w:gridCol w:w="2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title of such warrants;</w:t>
            </w:r>
          </w:p>
        </w:tc>
      </w:tr>
    </w:tbl>
    <w:p>
      <w:pPr>
        <w:pStyle w:val="TextBody"/>
        <w:bidi w:val="0"/>
        <w:spacing w:before="0" w:after="0"/>
        <w:ind w:left="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60"/>
        <w:gridCol w:w="170"/>
        <w:gridCol w:w="34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4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offering price for such warrants, if any;</w:t>
            </w:r>
          </w:p>
        </w:tc>
      </w:tr>
    </w:tbl>
    <w:p>
      <w:pPr>
        <w:pStyle w:val="TextBody"/>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170"/>
        <w:gridCol w:w="3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1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aggregate number of such warrants;</w:t>
            </w:r>
          </w:p>
        </w:tc>
      </w:tr>
    </w:tbl>
    <w:p>
      <w:pPr>
        <w:pStyle w:val="TextBody"/>
        <w:bidi w:val="0"/>
        <w:spacing w:before="0" w:after="0"/>
        <w:ind w:left="0" w:right="0" w:hanging="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60"/>
        <w:gridCol w:w="170"/>
        <w:gridCol w:w="76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designation and terms of the offered securities purchasable upon exercise of such warrants;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applicable, the designation and terms of the offered securities with which such warrants are issued and the number of such warrants issued with each such offered security;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applicable, the date from and after which such warrants and any offered securities issued therewith will be separately transferable;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shares of common stock, preferred stock or depositary shares purchasable upon exercise of a warrant and the price at which such shares may be purchased upon exercise;</w:t>
            </w:r>
          </w:p>
        </w:tc>
      </w:tr>
    </w:tbl>
    <w:p>
      <w:pPr>
        <w:pStyle w:val="TextBody"/>
        <w:bidi w:val="0"/>
        <w:spacing w:before="0" w:after="0"/>
        <w:ind w:left="0" w:right="0" w:hanging="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60"/>
        <w:gridCol w:w="170"/>
        <w:gridCol w:w="9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3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on which the right to exercise such warrants shall commence and the date on which such right shall expire;</w:t>
            </w:r>
          </w:p>
        </w:tc>
      </w:tr>
    </w:tbl>
    <w:p>
      <w:pPr>
        <w:pStyle w:val="TextBody"/>
        <w:bidi w:val="0"/>
        <w:spacing w:before="0" w:after="0"/>
        <w:ind w:left="0" w:right="0" w:hanging="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60"/>
        <w:gridCol w:w="170"/>
        <w:gridCol w:w="8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4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applicable, the minimum or maximum amount of such warrants that may be exercised at any one time;</w:t>
            </w:r>
          </w:p>
        </w:tc>
      </w:tr>
    </w:tbl>
    <w:p>
      <w:pPr>
        <w:pStyle w:val="TextBody"/>
        <w:bidi w:val="0"/>
        <w:spacing w:before="0" w:after="0"/>
        <w:ind w:left="0" w:right="0" w:hanging="0"/>
        <w:jc w:val="both"/>
        <w:rPr>
          <w:caps w:val="false"/>
          <w:smallCaps w:val="false"/>
        </w:rPr>
      </w:pPr>
      <w:r>
        <w:rPr>
          <w:caps w:val="false"/>
          <w:smallCaps w:val="false"/>
        </w:rPr>
        <w:t> ​</w:t>
      </w:r>
    </w:p>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0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currency or currency units in which the offering price, if any, and the exercise price are payable;</w:t>
            </w:r>
          </w:p>
        </w:tc>
      </w:tr>
    </w:tbl>
    <w:p>
      <w:pPr>
        <w:pStyle w:val="TextBody"/>
        <w:bidi w:val="0"/>
        <w:spacing w:before="0" w:after="0"/>
        <w:ind w:left="0" w:right="0" w:hanging="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0"/>
        <w:gridCol w:w="170"/>
        <w:gridCol w:w="6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applicable, a discussion of material United States federal income tax considerations;</w:t>
            </w:r>
          </w:p>
        </w:tc>
      </w:tr>
    </w:tbl>
    <w:p>
      <w:pPr>
        <w:pStyle w:val="TextBody"/>
        <w:bidi w:val="0"/>
        <w:spacing w:before="0" w:after="0"/>
        <w:ind w:left="0" w:right="0" w:hanging="0"/>
        <w:jc w:val="both"/>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60"/>
        <w:gridCol w:w="170"/>
        <w:gridCol w:w="41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1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antidilution provisions of such warrants, if any;</w:t>
            </w:r>
          </w:p>
        </w:tc>
      </w:tr>
    </w:tbl>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redemption or call provisions, if any, applicable to such warrants;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additional terms of such warrants, including terms, procedures and limitations relating to the exchange and exercise of such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THE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70"/>
        <w:gridCol w:w="6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of determining the security holders entitled to the rights distribution;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aggregate number of rights issued and the aggregate number of shares of common stock purchasable upon exercise of the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60"/>
        <w:gridCol w:w="170"/>
        <w:gridCol w:w="1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4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exercise price;</w:t>
            </w:r>
          </w:p>
        </w:tc>
      </w:tr>
    </w:tbl>
    <w:p>
      <w:pPr>
        <w:pStyle w:val="TextBody"/>
        <w:bidi w:val="0"/>
        <w:spacing w:before="0" w:after="0"/>
        <w:ind w:left="0" w:right="0" w:hanging="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60"/>
        <w:gridCol w:w="170"/>
        <w:gridCol w:w="41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1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conditions to completion of the rights offering;</w:t>
            </w:r>
          </w:p>
        </w:tc>
      </w:tr>
    </w:tbl>
    <w:p>
      <w:pPr>
        <w:pStyle w:val="TextBody"/>
        <w:bidi w:val="0"/>
        <w:spacing w:before="0" w:after="0"/>
        <w:ind w:left="0" w:right="0" w:hanging="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60"/>
        <w:gridCol w:w="170"/>
        <w:gridCol w:w="9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date on which the right to exercise the rights will commence and the date on which the rights will expire; and</w:t>
            </w:r>
          </w:p>
        </w:tc>
      </w:tr>
    </w:tbl>
    <w:p>
      <w:pPr>
        <w:pStyle w:val="TextBody"/>
        <w:bidi w:val="0"/>
        <w:spacing w:before="0" w:after="0"/>
        <w:ind w:left="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0"/>
        <w:gridCol w:w="170"/>
        <w:gridCol w:w="40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0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applicable federal income tax considerations.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Each right would entitle the holder of the rights to purchase for cash the principal amount of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0"/>
        <w:jc w:val="both"/>
        <w:rPr>
          <w:rFonts w:ascii="Times New Roman" w:hAnsi="Times New Roman"/>
          <w:caps w:val="false"/>
          <w:smallCaps w:val="false"/>
          <w:sz w:val="20"/>
        </w:rPr>
      </w:pPr>
      <w:r>
        <w:rPr>
          <w:rFonts w:ascii="Times New Roman" w:hAnsi="Times New Roman"/>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THE PURCHASE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issue, from time to time, purchase contracts, including contracts obligating holders to purchase from us and us to sell to the holders, a specified principal amount of debt securities, shares of common stock or preferred stock, depositary shares, government securities, or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prospectus supplement related to any particular purchase contracts will describe, among other things, the material terms of the purchase contracts and of the securities being sold pursuant to such purchase contracts, a discussion, if appropriate, of any special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THE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from time to time, issue units comprised of one or more of certain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prospectus supplement related to any particular units will describe,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material terms of the units and of the securities comprising the units, including whether and under what circumstances those securities may be held or transferred separately;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material provisions relating to the issuance, payment, settlement, transfer or exchange of the units or of the securities comprising the units;</w:t>
            </w:r>
          </w:p>
        </w:tc>
      </w:tr>
    </w:tbl>
    <w:p>
      <w:pPr>
        <w:pStyle w:val="TextBody"/>
        <w:bidi w:val="0"/>
        <w:spacing w:before="0" w:after="0"/>
        <w:ind w:left="0" w:right="0" w:hanging="0"/>
        <w:jc w:val="both"/>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60"/>
        <w:gridCol w:w="170"/>
        <w:gridCol w:w="8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2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appropriate, any special United States federal income tax considerations applicable to the units; and</w:t>
            </w:r>
          </w:p>
        </w:tc>
      </w:tr>
    </w:tbl>
    <w:p>
      <w:pPr>
        <w:pStyle w:val="TextBody"/>
        <w:bidi w:val="0"/>
        <w:spacing w:before="0" w:after="0"/>
        <w:ind w:left="0" w:right="0" w:hanging="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60"/>
        <w:gridCol w:w="170"/>
        <w:gridCol w:w="7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7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material provisions of the governing unit agreement that differ from those described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CERTAIN PROVISIONS OF DELAWARE LAW AND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OUR CERTIFICATE OF INCORPORATION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Certain provisions of Delaware law, our Charter and Bylaws discussed below may have the effect of making more difficult or discouraging a tender offer, proxy contest or other takeover attempt. These provisions are expected to encourage persons seeking to acquire control of our company to first negotiate with our Board of Directors. We believe that the benefits of increasing our ability to negotiate with the proponent of an unfriendly or unsolicited proposal to acquire or restructure our company outweigh the disadvantages of discouraging these proposals because negotiation of these proposals could result in an improvement of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Delaware Anti-Takeover Law.</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subject to Section 203 of the DGCL. Section 203 generally prohibits a public Delaware corporation from engaging in a “business combination” with an “interested stockholder” for a period of three years after the date of the transaction in which the person became an interested stockholder,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prior to the date of the transaction, the board of directors of the corporation approved either the business combination or the transaction which resulted in the stockholder becoming an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upon consummation of the transaction that resulted in the stockholder becoming an interested stockholder, the interested stockholder owned at least 85% of the voting stock of the corporation outstanding at the time the transaction commenced, excluding specified shares;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or subsequent to the date of the transaction, the business combination is approved by the board of directors and authorized at an annual or special meeting of stockholders, and not by written consent, by the affirmative vote of at least 66⅔% of the outstanding voting stock which is not owned by the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203 defines a “business combination” to include:</w:t>
      </w:r>
    </w:p>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0"/>
        <w:gridCol w:w="170"/>
        <w:gridCol w:w="6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merger or consolidation involving the corporation and the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sale, lease, exchange, mortgage, pledge, transfer or other disposition of 10% or more of the assets of the corporation to or with the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exceptions, any transaction that results in the issuance or transfer by the corporation of any stock of the corporation to the interested stockholder;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exceptions, any transaction involving the corporation that has the effect of increasing the proportionate share of the stock of any class or series of the corporation beneficially owned by the interested stockholder;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receipt by the interested stockholder of the benefit of any loans, advances, guarantees, pledges or other financial benefits provided by or through the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general, Section 203 defines an “interested stockholder” as any person that is:</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0"/>
        <w:gridCol w:w="170"/>
        <w:gridCol w:w="6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owner of 15% or more of the outstanding voting stock of the 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 affiliate or associate of the corporation who was the owner of 15% or more of the outstanding voting stock of the corporation at any time within three years immediately prior to the relevant date; or</w:t>
            </w:r>
          </w:p>
        </w:tc>
      </w:tr>
    </w:tbl>
    <w:p>
      <w:pPr>
        <w:pStyle w:val="TextBody"/>
        <w:bidi w:val="0"/>
        <w:spacing w:before="0" w:after="0"/>
        <w:ind w:left="0" w:right="0" w:hanging="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60"/>
        <w:gridCol w:w="170"/>
        <w:gridCol w:w="3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3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affiliates and associates of the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specific circumstances, Section 203 makes it more difficult for an “interested stockholder” to effect various business combinations with a corporation for a three-year period, although the stockholders may, by adopting an amendment to the corporation’s certificate of incorporation or bylaws, elect not to be governed by this section, effective 12 months after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Charter and Bylaws do not exclude us from the restrictions of Section 203. We anticipate that the provisions of Section 203 might encourage companies interested in acquiring us to negotiate in advance with our Board since the stockholder approval requirement would be avoided if a majority of the directors then in office approve either the business combination or the transaction that resulted in the stockholder becoming an interested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Charter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Provisions of our Charter and Bylaws may delay or discourage transactions involving an actual or potential change of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PLAN OF</w:t>
      </w:r>
      <w:r>
        <w:rPr>
          <w:rFonts w:ascii="Times New Roman" w:hAnsi="Times New Roman"/>
          <w:caps w:val="false"/>
          <w:smallCaps w:val="false"/>
          <w:sz w:val="20"/>
        </w:rPr>
        <w:t> </w:t>
      </w:r>
      <w:r>
        <w:rPr>
          <w:rFonts w:ascii="Times New Roman" w:hAnsi="Times New Roman"/>
          <w:b/>
          <w:caps w:val="false"/>
          <w:smallCaps w:val="false"/>
          <w:sz w:val="20"/>
        </w:rPr>
        <w:t>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offer and sell the securities in any one or more of the following ways:</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or through underwriters, brokers or dealers;</w:t>
            </w:r>
          </w:p>
        </w:tc>
      </w:tr>
    </w:tbl>
    <w:p>
      <w:pPr>
        <w:pStyle w:val="TextBody"/>
        <w:bidi w:val="0"/>
        <w:spacing w:before="0" w:after="0"/>
        <w:ind w:left="0" w:right="0" w:hanging="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0"/>
        <w:gridCol w:w="170"/>
        <w:gridCol w:w="3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directly to one or more other purchasers;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through a block trade in which the broker or dealer engaged to handle the block trade will attempt to sell the securities as agent, but may position and resell a portion of the block as principal to facilitate the transaction;</w:t>
            </w:r>
          </w:p>
        </w:tc>
      </w:tr>
    </w:tbl>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60"/>
        <w:gridCol w:w="170"/>
        <w:gridCol w:w="30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through agents on a best-efforts basis;</w:t>
            </w:r>
          </w:p>
        </w:tc>
      </w:tr>
    </w:tbl>
    <w:p>
      <w:pPr>
        <w:pStyle w:val="TextBody"/>
        <w:bidi w:val="0"/>
        <w:spacing w:before="0" w:after="0"/>
        <w:ind w:left="0" w:right="0" w:hanging="0"/>
        <w:jc w:val="both"/>
        <w:rPr/>
      </w:pPr>
      <w:r>
        <w:rPr/>
        <w:t> </w:t>
      </w:r>
    </w:p>
    <w:tbl>
      <w:tblPr>
        <w:tblW w:w="9190" w:type="dxa"/>
        <w:jc w:val="left"/>
        <w:tblInd w:w="0" w:type="dxa"/>
        <w:tblLayout w:type="fixed"/>
        <w:tblCellMar>
          <w:top w:w="0" w:type="dxa"/>
          <w:left w:w="0" w:type="dxa"/>
          <w:bottom w:w="0" w:type="dxa"/>
          <w:right w:w="0" w:type="dxa"/>
        </w:tblCellMar>
      </w:tblPr>
      <w:tblGrid>
        <w:gridCol w:w="60"/>
        <w:gridCol w:w="170"/>
        <w:gridCol w:w="8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method that is deemed an “at the market offering” as defined in Rule 415(a)(4) under the Securities Act; or</w:t>
            </w:r>
          </w:p>
        </w:tc>
      </w:tr>
    </w:tbl>
    <w:p>
      <w:pPr>
        <w:pStyle w:val="TextBody"/>
        <w:bidi w:val="0"/>
        <w:spacing w:before="0" w:after="0"/>
        <w:ind w:left="0" w:right="0" w:hanging="0"/>
        <w:jc w:val="both"/>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60"/>
        <w:gridCol w:w="170"/>
        <w:gridCol w:w="5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otherwise through a combination of any of the above methods of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we may enter into option, share lending or other types of transactions that require us to deliver shares of common stock to an underwriter, broker or dealer, who will then resell or transfer the shares of common stock under this prospectus. We may also enter into hedging transactions with respect to our securities. For example, we may:</w:t>
      </w:r>
    </w:p>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60"/>
        <w:gridCol w:w="170"/>
        <w:gridCol w:w="8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9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enter into transactions involving short sales of the shares of common stock by underwriters, brokers or dealers;</w:t>
            </w:r>
          </w:p>
        </w:tc>
      </w:tr>
    </w:tbl>
    <w:p>
      <w:pPr>
        <w:pStyle w:val="TextBody"/>
        <w:bidi w:val="0"/>
        <w:spacing w:before="0" w:after="0"/>
        <w:ind w:left="0" w:right="0" w:hanging="0"/>
        <w:jc w:val="both"/>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0"/>
        <w:gridCol w:w="170"/>
        <w:gridCol w:w="6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sell shares of Common Stock short and deliver the shares to close out short positions;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enter into option or other types of transactions that require us to deliver shares of Common Stock to an underwriter, broker or dealer, who will then resell or transfer the shares of Common Stock under this prospectus;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loan or pledge the shares of Common Stock to an underwriter, broker or dealer, who may sell the loaned shares or, in the event of default, sell the pledged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time we sell securities, we will provide a prospectus supplement that will name any underwriter, dealer or agent involved in the offer and sale of the securities. The prospectus supplement will also set forth the terms of the offering, including:</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170"/>
        <w:gridCol w:w="7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purchase price of the securities and the proceeds we will receive from the sale of the securities;</w:t>
            </w:r>
          </w:p>
        </w:tc>
      </w:tr>
    </w:tbl>
    <w:p>
      <w:pPr>
        <w:pStyle w:val="TextBody"/>
        <w:bidi w:val="0"/>
        <w:spacing w:before="0" w:after="0"/>
        <w:ind w:left="0" w:right="0" w:hanging="0"/>
        <w:jc w:val="both"/>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60"/>
        <w:gridCol w:w="170"/>
        <w:gridCol w:w="6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underwriting discounts and other items constituting underwriters’ compensation;</w:t>
            </w:r>
          </w:p>
        </w:tc>
      </w:tr>
    </w:tbl>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60"/>
        <w:gridCol w:w="170"/>
        <w:gridCol w:w="9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public offering or purchase price and any discounts or commissions allowed or re-allowed or paid to dealers;</w:t>
            </w:r>
          </w:p>
        </w:tc>
      </w:tr>
    </w:tbl>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170"/>
        <w:gridCol w:w="3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commissions allowed or paid to agents;</w:t>
            </w:r>
          </w:p>
        </w:tc>
      </w:tr>
    </w:tbl>
    <w:p>
      <w:pPr>
        <w:pStyle w:val="TextBody"/>
        <w:bidi w:val="0"/>
        <w:spacing w:before="0" w:after="0"/>
        <w:ind w:left="0" w:right="0" w:hanging="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60"/>
        <w:gridCol w:w="170"/>
        <w:gridCol w:w="2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3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offering expenses;</w:t>
            </w:r>
          </w:p>
        </w:tc>
      </w:tr>
    </w:tbl>
    <w:p>
      <w:pPr>
        <w:pStyle w:val="TextBody"/>
        <w:bidi w:val="0"/>
        <w:spacing w:before="0" w:after="0"/>
        <w:ind w:left="0" w:right="0" w:hanging="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60"/>
        <w:gridCol w:w="170"/>
        <w:gridCol w:w="5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securities exchanges on which the securities may be listed;</w:t>
            </w:r>
          </w:p>
        </w:tc>
      </w:tr>
    </w:tbl>
    <w:p>
      <w:pPr>
        <w:pStyle w:val="TextBody"/>
        <w:bidi w:val="0"/>
        <w:spacing w:before="0" w:after="0"/>
        <w:ind w:left="0" w:right="0" w:hanging="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60"/>
        <w:gridCol w:w="170"/>
        <w:gridCol w:w="35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5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method of distribution of the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60"/>
        <w:gridCol w:w="170"/>
        <w:gridCol w:w="9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4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terms of any agreement, arrangement or understanding entered into with the underwriters, brokers or dealers; and</w:t>
            </w:r>
          </w:p>
        </w:tc>
      </w:tr>
    </w:tbl>
    <w:p>
      <w:pPr>
        <w:pStyle w:val="TextBody"/>
        <w:bidi w:val="0"/>
        <w:spacing w:before="0" w:after="0"/>
        <w:ind w:left="0" w:right="0" w:hanging="0"/>
        <w:jc w:val="both"/>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60"/>
        <w:gridCol w:w="170"/>
        <w:gridCol w:w="36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6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other information we think is important.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underwriters or dealers are used in the sale, the securities will be acquired by the underwriters or dealers for their own account. The securities may be sold from time to time by us in one or more transactions:</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170"/>
        <w:gridCol w:w="37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a fixed price or prices that may be changed;</w:t>
            </w:r>
          </w:p>
        </w:tc>
      </w:tr>
    </w:tbl>
    <w:p>
      <w:pPr>
        <w:pStyle w:val="TextBody"/>
        <w:bidi w:val="0"/>
        <w:spacing w:before="0" w:after="0"/>
        <w:ind w:left="0" w:right="0" w:hanging="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market prices prevailing at the time of sale;</w:t>
            </w:r>
          </w:p>
        </w:tc>
      </w:tr>
    </w:tbl>
    <w:p>
      <w:pPr>
        <w:pStyle w:val="TextBody"/>
        <w:bidi w:val="0"/>
        <w:spacing w:before="0" w:after="0"/>
        <w:ind w:left="0" w:right="0" w:hanging="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60"/>
        <w:gridCol w:w="170"/>
        <w:gridCol w:w="3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prices related to such prevailing market prices;</w:t>
            </w:r>
          </w:p>
        </w:tc>
      </w:tr>
    </w:tbl>
    <w:p>
      <w:pPr>
        <w:pStyle w:val="TextBody"/>
        <w:bidi w:val="0"/>
        <w:spacing w:before="0" w:after="0"/>
        <w:ind w:left="0" w:right="0" w:hanging="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60"/>
        <w:gridCol w:w="170"/>
        <w:gridCol w:w="40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0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varying prices determined at the time of sale; or</w:t>
            </w:r>
          </w:p>
        </w:tc>
      </w:tr>
    </w:tbl>
    <w:p>
      <w:pPr>
        <w:pStyle w:val="TextBody"/>
        <w:bidi w:val="0"/>
        <w:spacing w:before="0" w:after="0"/>
        <w:ind w:left="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0"/>
        <w:gridCol w:w="170"/>
        <w:gridCol w:w="1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6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Such sales may be effected: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transactions on any national securities exchange or quotation service on which the securities may be listed or quoted at the time of sale;</w:t>
            </w:r>
          </w:p>
        </w:tc>
      </w:tr>
    </w:tbl>
    <w:p>
      <w:pPr>
        <w:pStyle w:val="TextBody"/>
        <w:bidi w:val="0"/>
        <w:spacing w:before="0" w:after="0"/>
        <w:ind w:left="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60"/>
        <w:gridCol w:w="170"/>
        <w:gridCol w:w="3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transactions in the over-the-counter market;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tc>
      </w:tr>
    </w:tbl>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170"/>
        <w:gridCol w:w="2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7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through the writing of options; or</w:t>
            </w:r>
          </w:p>
        </w:tc>
      </w:tr>
    </w:tbl>
    <w:p>
      <w:pPr>
        <w:pStyle w:val="TextBody"/>
        <w:bidi w:val="0"/>
        <w:spacing w:before="0" w:after="0"/>
        <w:ind w:left="0" w:right="0" w:hanging="0"/>
        <w:jc w:val="both"/>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60"/>
        <w:gridCol w:w="170"/>
        <w:gridCol w:w="28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8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through other types of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obligated to purchase all the offered securities if any are purchased. Any public offering price and any discount or concession allowed or reallowed or paid by underwriters or dealers to other dealers may be changed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shares of Common Stock covered by this prospectus that qualify for sale pursuant to Rule 144 under the Securities Act may be sold under Rule 144 rather than pursuant to this prospectus. Any shares of Common Stock offered under this prospectus will be listed on The Nasdaq Global Market (or other such exchange or automated quotation system on which the Common Stock is listed), subject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securities may be sold directly by us or through agents designated by us from time to time. Any agent involved in the offer or sale of the securities in respect of which this prospectus is delivered will be named, and any commissions payable by us to such agent will be set forth in, the prospectus supplement. Unless otherwise indicated in the prospectus supplement, any such agent will be acting on a best efforts basis for the period of its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Offers to purchase the securities offered by this prospectus may be solicited, and sales of the securities may be made by us directly to institutional investors or others, who may be deemed to be underwriters within the meaning of the Securities Act with respect to any resale of the securities. The terms of any offer made in this manner will be included in the prospectus supplement relating to the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indicated in the applicable prospectus supplement, underwriters, dealers or agents will be authorized to solicit offers by certain institutional investors to purchase securities from us pursuant to contracts providing for payment and delivery at a future date. Institutional investors with which these contracts may be made include, among others:</w:t>
      </w:r>
    </w:p>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60"/>
        <w:gridCol w:w="170"/>
        <w:gridCol w:w="25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5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savings banks;</w:t>
            </w:r>
          </w:p>
        </w:tc>
      </w:tr>
    </w:tbl>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60"/>
        <w:gridCol w:w="170"/>
        <w:gridCol w:w="1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7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companies;</w:t>
            </w:r>
          </w:p>
        </w:tc>
      </w:tr>
    </w:tbl>
    <w:p>
      <w:pPr>
        <w:pStyle w:val="TextBody"/>
        <w:bidi w:val="0"/>
        <w:spacing w:before="0" w:after="0"/>
        <w:ind w:left="0" w:right="0" w:hanging="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60"/>
        <w:gridCol w:w="170"/>
        <w:gridCol w:w="1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2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pension funds;</w:t>
            </w:r>
          </w:p>
        </w:tc>
      </w:tr>
    </w:tbl>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60"/>
        <w:gridCol w:w="170"/>
        <w:gridCol w:w="22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2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companies; and</w:t>
            </w:r>
          </w:p>
        </w:tc>
      </w:tr>
    </w:tbl>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60"/>
        <w:gridCol w:w="170"/>
        <w:gridCol w:w="2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8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educational charitable institutions.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all cases, these purchasers must be approved by us.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must have sold to these underwriters the securities not subject to delayed delivery. Underwriters and other agents will not have any responsibility in respect of the validity or performance of these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Some of the underwriters, dealers or agents used by us in any offering of securities under this prospectus may be customers of, engage in transactions with, and perform services for us or affiliates of ours in the ordinary course of business. Underwriters, dealers, agents and other persons may be entitled under agreements which may be entered into with us to indemnification against and contribution toward certain civil liabilities, including liabilities under the Securities Act, and to be reimbursed by us for certain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any restrictions relating to debt securities in bearer form, any securities initially sold outside the United States may be resold in the United States through underwriters, dealers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underwriters to which offered securities are sold by us for public offering and sale may make a market in such securities, but those underwriters will not be obligated to do so and may discontinue any market making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anticipated date of delivery of the securities offered by this prospectus will be described in the applicable prospectus supplement relating to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indicated in the applicable prospectus supplement, certain legal matters in connection with this offering will be passed upon for us by Cozen O’Connor, New York, New York. If legal matters in connection with offerings made pursuant to this prospectus are passed upon by counsel for underwriters, dealers or agents, if any, such counsel will be named in the prospectus supplement relating to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of NRx Pharmaceuticals, Inc. as of December 31, 2024 and 2023, and for the years then ended, incorporated in this prospectus by reference from the Company’s Annual Report on Form 10-K, for the year ended December 31, 2024, have been audited by Salberg &amp; Company, P.A., an independent registered public accounting firm, as stated in their report thereon (which report contains an explanatory paragraph regarding the ability of the Company to continue as a going concern), and have been incorporated in this prospectus and registration statement in reliance upon such report and upon the authority of such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WHERE YOU CAN FIND MORE</w:t>
      </w:r>
      <w:r>
        <w:rPr>
          <w:rFonts w:ascii="Times New Roman" w:hAnsi="Times New Roman"/>
          <w:caps w:val="false"/>
          <w:smallCaps w:val="false"/>
          <w:sz w:val="20"/>
        </w:rPr>
        <w:t> </w:t>
      </w:r>
      <w:r>
        <w:rPr>
          <w:rFonts w:ascii="Times New Roman" w:hAnsi="Times New Roman"/>
          <w:b/>
          <w:caps w:val="false"/>
          <w:smallCaps w:val="false"/>
          <w:sz w:val="20"/>
        </w:rPr>
        <w:t>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file annual, quarterly, and current reports, proxy statements, and other information with the SEC. We have filed with the SEC a registration statement on Form S-3 under the Securities Act with respect to the securities offered by this prospectus. This prospectus, which constitutes a part of the registration statement, does not contain all of the information in the registration statement. For further information about us and the securities offered by this prospectus, we refer you to the registration statement and the exhibits filed as part of the registration statement. You may read the registration statement as well as our reports, proxy statements and other documents we file with the SEC over the internet at the SEC’s website at https://www.sec.gov.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also maintain a website at </w:t>
      </w:r>
      <w:r>
        <w:rPr>
          <w:rFonts w:ascii="Times New Roman" w:hAnsi="Times New Roman"/>
          <w:i/>
          <w:caps w:val="false"/>
          <w:smallCaps w:val="false"/>
          <w:sz w:val="20"/>
        </w:rPr>
        <w:t>www.nrxpharma.com</w:t>
      </w:r>
      <w:r>
        <w:rPr>
          <w:rFonts w:ascii="Times New Roman" w:hAnsi="Times New Roman"/>
          <w:caps w:val="false"/>
          <w:smallCaps w:val="false"/>
          <w:sz w:val="20"/>
        </w:rPr>
        <w:t>, at which you may access these materials free of charge as soon as reasonably practicable after they are electronically filed with, or furnished to, the SEC. We have not incorporated by reference into this prospectus the information on our website, and you should not consider it to be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INCORPORATION OF</w:t>
      </w:r>
      <w:r>
        <w:rPr>
          <w:rFonts w:ascii="Times New Roman" w:hAnsi="Times New Roman"/>
          <w:caps w:val="false"/>
          <w:smallCaps w:val="false"/>
          <w:sz w:val="20"/>
        </w:rPr>
        <w:t> </w:t>
      </w:r>
      <w:r>
        <w:rPr>
          <w:rFonts w:ascii="Times New Roman" w:hAnsi="Times New Roman"/>
          <w:b/>
          <w:caps w:val="false"/>
          <w:smallCaps w:val="false"/>
          <w:sz w:val="20"/>
        </w:rPr>
        <w:t>CERTAIN</w:t>
      </w:r>
      <w:r>
        <w:rPr>
          <w:rFonts w:ascii="Times New Roman" w:hAnsi="Times New Roman"/>
          <w:caps w:val="false"/>
          <w:smallCaps w:val="false"/>
          <w:sz w:val="20"/>
        </w:rPr>
        <w:t> </w:t>
      </w:r>
      <w:r>
        <w:rPr>
          <w:rFonts w:ascii="Times New Roman" w:hAnsi="Times New Roman"/>
          <w:b/>
          <w:caps w:val="false"/>
          <w:smallCaps w:val="false"/>
          <w:sz w:val="20"/>
        </w:rPr>
        <w:t>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the information we file with the SEC into this prospectus, which means that we can disclose important information to you by referring you to those documents. The information incorporated by reference is considered to be part of this prospectus. Information that we file later with the SEC will automatically update and supersede information in this prospectus. In all cases, you should rely on the later information over different information included in this prospectus. Except to the extent that information is deemed furnished and not filed pursuant to securities laws and regulations, the following documents have been filed by us with the SEC and are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our Annual Report on Form 10-K for the fiscal year ended December 31, 2024, filed with the SEC on </w:t>
            </w:r>
            <w:hyperlink r:id="rId12">
              <w:r>
                <w:rPr>
                  <w:rStyle w:val="InternetLink"/>
                  <w:rFonts w:ascii="Times New Roman;Times;serif" w:hAnsi="Times New Roman;Times;serif"/>
                  <w:caps w:val="false"/>
                  <w:smallCaps w:val="false"/>
                  <w:sz w:val="20"/>
                  <w:u w:val="single"/>
                </w:rPr>
                <w:t>March 14, 2025</w:t>
              </w:r>
            </w:hyperlink>
            <w:r>
              <w:rPr>
                <w:rFonts w:ascii="Times New Roman;Times;serif" w:hAnsi="Times New Roman;Times;serif"/>
                <w:caps w:val="false"/>
                <w:smallCaps w:val="false"/>
                <w:sz w:val="20"/>
              </w:rPr>
              <w:t xml:space="preserve">, as amended on </w:t>
            </w:r>
            <w:hyperlink r:id="rId13">
              <w:r>
                <w:rPr>
                  <w:rStyle w:val="InternetLink"/>
                  <w:rFonts w:ascii="Times New Roman;Times;serif" w:hAnsi="Times New Roman;Times;serif"/>
                  <w:caps w:val="false"/>
                  <w:smallCaps w:val="false"/>
                  <w:sz w:val="20"/>
                  <w:u w:val="single"/>
                </w:rPr>
                <w:t>April 29, 2025</w:t>
              </w:r>
            </w:hyperlink>
            <w:r>
              <w:rPr>
                <w:rFonts w:ascii="Times New Roman;Times;serif" w:hAnsi="Times New Roman;Times;serif"/>
                <w:caps w:val="false"/>
                <w:smallCaps w:val="false"/>
                <w:sz w:val="20"/>
              </w:rPr>
              <w: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Our Quarterly Reports on Form 10-Q for the quarters ended March 31, 2025, June 30, 2025 and September 30, 2025 filed with the SEC on </w:t>
            </w:r>
            <w:hyperlink r:id="rId14">
              <w:r>
                <w:rPr>
                  <w:rStyle w:val="InternetLink"/>
                  <w:rFonts w:ascii="Times New Roman;Times;serif" w:hAnsi="Times New Roman;Times;serif"/>
                  <w:caps w:val="false"/>
                  <w:smallCaps w:val="false"/>
                  <w:sz w:val="20"/>
                  <w:u w:val="single"/>
                </w:rPr>
                <w:t>May 15, 2025</w:t>
              </w:r>
            </w:hyperlink>
            <w:r>
              <w:rPr>
                <w:rFonts w:ascii="Times New Roman;Times;serif" w:hAnsi="Times New Roman;Times;serif"/>
                <w:caps w:val="false"/>
                <w:smallCaps w:val="false"/>
                <w:sz w:val="20"/>
              </w:rPr>
              <w:t xml:space="preserve">, </w:t>
            </w:r>
            <w:hyperlink r:id="rId15">
              <w:r>
                <w:rPr>
                  <w:rStyle w:val="InternetLink"/>
                  <w:rFonts w:ascii="Times New Roman;Times;serif" w:hAnsi="Times New Roman;Times;serif"/>
                  <w:caps w:val="false"/>
                  <w:smallCaps w:val="false"/>
                  <w:sz w:val="20"/>
                  <w:u w:val="single"/>
                </w:rPr>
                <w:t>August 18, 2025</w:t>
              </w:r>
            </w:hyperlink>
            <w:r>
              <w:rPr>
                <w:rFonts w:ascii="Times New Roman;Times;serif" w:hAnsi="Times New Roman;Times;serif"/>
                <w:caps w:val="false"/>
                <w:smallCaps w:val="false"/>
                <w:sz w:val="20"/>
              </w:rPr>
              <w:t xml:space="preserve">, and </w:t>
            </w:r>
            <w:hyperlink r:id="rId16">
              <w:r>
                <w:rPr>
                  <w:rStyle w:val="InternetLink"/>
                  <w:rFonts w:ascii="Times New Roman;Times;serif" w:hAnsi="Times New Roman;Times;serif"/>
                  <w:caps w:val="false"/>
                  <w:smallCaps w:val="false"/>
                  <w:sz w:val="20"/>
                  <w:u w:val="single"/>
                </w:rPr>
                <w:t>November 14, 2025</w:t>
              </w:r>
            </w:hyperlink>
            <w:r>
              <w:rPr>
                <w:rFonts w:ascii="Times New Roman;Times;serif" w:hAnsi="Times New Roman;Times;serif"/>
                <w:caps w:val="false"/>
                <w:smallCaps w:val="false"/>
                <w:sz w:val="20"/>
              </w:rPr>
              <w: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Our Current Report on Form 8-K and 8-K/A filed with the SEC on </w:t>
            </w:r>
            <w:hyperlink r:id="rId17">
              <w:r>
                <w:rPr>
                  <w:rStyle w:val="InternetLink"/>
                  <w:rFonts w:ascii="Times New Roman;Times;serif" w:hAnsi="Times New Roman;Times;serif"/>
                  <w:caps w:val="false"/>
                  <w:smallCaps w:val="false"/>
                  <w:sz w:val="20"/>
                  <w:u w:val="single"/>
                </w:rPr>
                <w:t>January 10, 2025</w:t>
              </w:r>
            </w:hyperlink>
            <w:r>
              <w:rPr>
                <w:rFonts w:ascii="Times New Roman;Times;serif" w:hAnsi="Times New Roman;Times;serif"/>
                <w:caps w:val="false"/>
                <w:smallCaps w:val="false"/>
                <w:sz w:val="20"/>
              </w:rPr>
              <w:t xml:space="preserve">; </w:t>
            </w:r>
            <w:hyperlink r:id="rId18">
              <w:r>
                <w:rPr>
                  <w:rStyle w:val="InternetLink"/>
                  <w:rFonts w:ascii="Times New Roman;Times;serif" w:hAnsi="Times New Roman;Times;serif"/>
                  <w:caps w:val="false"/>
                  <w:smallCaps w:val="false"/>
                  <w:sz w:val="20"/>
                  <w:u w:val="single"/>
                </w:rPr>
                <w:t>January 14, 2025</w:t>
              </w:r>
            </w:hyperlink>
            <w:r>
              <w:rPr>
                <w:rFonts w:ascii="Times New Roman;Times;serif" w:hAnsi="Times New Roman;Times;serif"/>
                <w:caps w:val="false"/>
                <w:smallCaps w:val="false"/>
                <w:sz w:val="20"/>
              </w:rPr>
              <w:t xml:space="preserve">; </w:t>
            </w:r>
            <w:hyperlink r:id="rId19">
              <w:r>
                <w:rPr>
                  <w:rStyle w:val="InternetLink"/>
                  <w:rFonts w:ascii="Times New Roman;Times;serif" w:hAnsi="Times New Roman;Times;serif"/>
                  <w:caps w:val="false"/>
                  <w:smallCaps w:val="false"/>
                  <w:sz w:val="20"/>
                  <w:u w:val="single"/>
                </w:rPr>
                <w:t>January 22, 2025</w:t>
              </w:r>
            </w:hyperlink>
            <w:r>
              <w:rPr>
                <w:rFonts w:ascii="Times New Roman;Times;serif" w:hAnsi="Times New Roman;Times;serif"/>
                <w:caps w:val="false"/>
                <w:smallCaps w:val="false"/>
                <w:sz w:val="20"/>
              </w:rPr>
              <w:t xml:space="preserve">; </w:t>
            </w:r>
            <w:hyperlink r:id="rId20">
              <w:r>
                <w:rPr>
                  <w:rStyle w:val="InternetLink"/>
                  <w:rFonts w:ascii="Times New Roman;Times;serif" w:hAnsi="Times New Roman;Times;serif"/>
                  <w:caps w:val="false"/>
                  <w:smallCaps w:val="false"/>
                  <w:sz w:val="20"/>
                  <w:u w:val="single"/>
                </w:rPr>
                <w:t>January 29, 2025</w:t>
              </w:r>
            </w:hyperlink>
            <w:r>
              <w:rPr>
                <w:rFonts w:ascii="Times New Roman;Times;serif" w:hAnsi="Times New Roman;Times;serif"/>
                <w:caps w:val="false"/>
                <w:smallCaps w:val="false"/>
                <w:sz w:val="20"/>
              </w:rPr>
              <w:t xml:space="preserve">; </w:t>
            </w:r>
            <w:hyperlink r:id="rId21">
              <w:r>
                <w:rPr>
                  <w:rStyle w:val="InternetLink"/>
                  <w:rFonts w:ascii="Times New Roman;Times;serif" w:hAnsi="Times New Roman;Times;serif"/>
                  <w:caps w:val="false"/>
                  <w:smallCaps w:val="false"/>
                  <w:sz w:val="20"/>
                  <w:u w:val="single"/>
                </w:rPr>
                <w:t>February 3, 2025</w:t>
              </w:r>
            </w:hyperlink>
            <w:r>
              <w:rPr>
                <w:rFonts w:ascii="Times New Roman;Times;serif" w:hAnsi="Times New Roman;Times;serif"/>
                <w:caps w:val="false"/>
                <w:smallCaps w:val="false"/>
                <w:sz w:val="20"/>
              </w:rPr>
              <w:t xml:space="preserve">; </w:t>
            </w:r>
            <w:hyperlink r:id="rId22">
              <w:r>
                <w:rPr>
                  <w:rStyle w:val="InternetLink"/>
                  <w:rFonts w:ascii="Times New Roman;Times;serif" w:hAnsi="Times New Roman;Times;serif"/>
                  <w:caps w:val="false"/>
                  <w:smallCaps w:val="false"/>
                  <w:sz w:val="20"/>
                  <w:u w:val="single"/>
                </w:rPr>
                <w:t>April 17, 2025</w:t>
              </w:r>
            </w:hyperlink>
            <w:r>
              <w:rPr>
                <w:rFonts w:ascii="Times New Roman;Times;serif" w:hAnsi="Times New Roman;Times;serif"/>
                <w:caps w:val="false"/>
                <w:smallCaps w:val="false"/>
                <w:sz w:val="20"/>
              </w:rPr>
              <w:t xml:space="preserve">; </w:t>
            </w:r>
            <w:hyperlink r:id="rId23">
              <w:r>
                <w:rPr>
                  <w:rStyle w:val="InternetLink"/>
                  <w:rFonts w:ascii="Times New Roman;Times;serif" w:hAnsi="Times New Roman;Times;serif"/>
                  <w:caps w:val="false"/>
                  <w:smallCaps w:val="false"/>
                  <w:sz w:val="20"/>
                  <w:u w:val="single"/>
                </w:rPr>
                <w:t>May 13, 2025</w:t>
              </w:r>
            </w:hyperlink>
            <w:r>
              <w:rPr>
                <w:rFonts w:ascii="Times New Roman;Times;serif" w:hAnsi="Times New Roman;Times;serif"/>
                <w:caps w:val="false"/>
                <w:smallCaps w:val="false"/>
                <w:sz w:val="20"/>
              </w:rPr>
              <w:t xml:space="preserve">; </w:t>
            </w:r>
            <w:hyperlink r:id="rId24">
              <w:r>
                <w:rPr>
                  <w:rStyle w:val="InternetLink"/>
                  <w:rFonts w:ascii="Times New Roman;Times;serif" w:hAnsi="Times New Roman;Times;serif"/>
                  <w:caps w:val="false"/>
                  <w:smallCaps w:val="false"/>
                  <w:sz w:val="20"/>
                  <w:u w:val="single"/>
                </w:rPr>
                <w:t>June 9, 2025</w:t>
              </w:r>
            </w:hyperlink>
            <w:r>
              <w:rPr>
                <w:rFonts w:ascii="Times New Roman;Times;serif" w:hAnsi="Times New Roman;Times;serif"/>
                <w:caps w:val="false"/>
                <w:smallCaps w:val="false"/>
                <w:sz w:val="20"/>
              </w:rPr>
              <w:t xml:space="preserve">; </w:t>
            </w:r>
            <w:hyperlink r:id="rId25">
              <w:r>
                <w:rPr>
                  <w:rStyle w:val="InternetLink"/>
                  <w:rFonts w:ascii="Times New Roman;Times;serif" w:hAnsi="Times New Roman;Times;serif"/>
                  <w:caps w:val="false"/>
                  <w:smallCaps w:val="false"/>
                  <w:sz w:val="20"/>
                  <w:u w:val="single"/>
                </w:rPr>
                <w:t>August 15, 2025</w:t>
              </w:r>
            </w:hyperlink>
            <w:r>
              <w:rPr>
                <w:rFonts w:ascii="Times New Roman;Times;serif" w:hAnsi="Times New Roman;Times;serif"/>
                <w:caps w:val="false"/>
                <w:smallCaps w:val="false"/>
                <w:sz w:val="20"/>
              </w:rPr>
              <w:t xml:space="preserve">; </w:t>
            </w:r>
            <w:hyperlink r:id="rId26">
              <w:r>
                <w:rPr>
                  <w:rStyle w:val="InternetLink"/>
                  <w:rFonts w:ascii="Times New Roman;Times;serif" w:hAnsi="Times New Roman;Times;serif"/>
                  <w:caps w:val="false"/>
                  <w:smallCaps w:val="false"/>
                  <w:sz w:val="20"/>
                  <w:u w:val="single"/>
                </w:rPr>
                <w:t>August 18, 2025</w:t>
              </w:r>
            </w:hyperlink>
            <w:r>
              <w:rPr>
                <w:rFonts w:ascii="Times New Roman;Times;serif" w:hAnsi="Times New Roman;Times;serif"/>
                <w:caps w:val="false"/>
                <w:smallCaps w:val="false"/>
                <w:sz w:val="20"/>
              </w:rPr>
              <w:t xml:space="preserve">; </w:t>
            </w:r>
            <w:hyperlink r:id="rId27">
              <w:r>
                <w:rPr>
                  <w:rStyle w:val="InternetLink"/>
                  <w:rFonts w:ascii="Times New Roman;Times;serif" w:hAnsi="Times New Roman;Times;serif"/>
                  <w:caps w:val="false"/>
                  <w:smallCaps w:val="false"/>
                  <w:sz w:val="20"/>
                  <w:u w:val="single"/>
                </w:rPr>
                <w:t>September 8, 2025</w:t>
              </w:r>
            </w:hyperlink>
            <w:r>
              <w:rPr>
                <w:rFonts w:ascii="Times New Roman;Times;serif" w:hAnsi="Times New Roman;Times;serif"/>
                <w:caps w:val="false"/>
                <w:smallCaps w:val="false"/>
                <w:sz w:val="20"/>
              </w:rPr>
              <w:t xml:space="preserve">; </w:t>
            </w:r>
            <w:hyperlink r:id="rId28">
              <w:r>
                <w:rPr>
                  <w:rStyle w:val="InternetLink"/>
                  <w:rFonts w:ascii="Times New Roman;Times;serif" w:hAnsi="Times New Roman;Times;serif"/>
                  <w:caps w:val="false"/>
                  <w:smallCaps w:val="false"/>
                  <w:sz w:val="20"/>
                  <w:u w:val="single"/>
                </w:rPr>
                <w:t>September 12, 2025</w:t>
              </w:r>
            </w:hyperlink>
            <w:r>
              <w:rPr>
                <w:rFonts w:ascii="Times New Roman;Times;serif" w:hAnsi="Times New Roman;Times;serif"/>
                <w:caps w:val="false"/>
                <w:smallCaps w:val="false"/>
                <w:sz w:val="20"/>
              </w:rPr>
              <w:t xml:space="preserve">; </w:t>
            </w:r>
            <w:hyperlink r:id="rId29">
              <w:r>
                <w:rPr>
                  <w:rStyle w:val="InternetLink"/>
                  <w:rFonts w:ascii="Times New Roman;Times;serif" w:hAnsi="Times New Roman;Times;serif"/>
                  <w:caps w:val="false"/>
                  <w:smallCaps w:val="false"/>
                  <w:sz w:val="20"/>
                  <w:u w:val="single"/>
                </w:rPr>
                <w:t>September 26, 2025</w:t>
              </w:r>
            </w:hyperlink>
            <w:r>
              <w:rPr>
                <w:rFonts w:ascii="Times New Roman;Times;serif" w:hAnsi="Times New Roman;Times;serif"/>
                <w:caps w:val="false"/>
                <w:smallCaps w:val="false"/>
                <w:sz w:val="20"/>
              </w:rPr>
              <w:t xml:space="preserve">; </w:t>
            </w:r>
            <w:hyperlink r:id="rId30">
              <w:r>
                <w:rPr>
                  <w:rStyle w:val="InternetLink"/>
                  <w:rFonts w:ascii="Times New Roman;Times;serif" w:hAnsi="Times New Roman;Times;serif"/>
                  <w:caps w:val="false"/>
                  <w:smallCaps w:val="false"/>
                  <w:sz w:val="20"/>
                  <w:u w:val="single"/>
                </w:rPr>
                <w:t>October 23, 2025</w:t>
              </w:r>
            </w:hyperlink>
            <w:r>
              <w:rPr>
                <w:rFonts w:ascii="Times New Roman;Times;serif" w:hAnsi="Times New Roman;Times;serif"/>
                <w:caps w:val="false"/>
                <w:smallCaps w:val="false"/>
                <w:sz w:val="20"/>
              </w:rPr>
              <w:t xml:space="preserve">; </w:t>
            </w:r>
            <w:hyperlink r:id="rId31">
              <w:r>
                <w:rPr>
                  <w:rStyle w:val="InternetLink"/>
                  <w:rFonts w:ascii="Times New Roman;Times;serif" w:hAnsi="Times New Roman;Times;serif"/>
                  <w:caps w:val="false"/>
                  <w:smallCaps w:val="false"/>
                  <w:sz w:val="20"/>
                  <w:u w:val="single"/>
                </w:rPr>
                <w:t>November 21, 2025</w:t>
              </w:r>
            </w:hyperlink>
            <w:r>
              <w:rPr>
                <w:rFonts w:ascii="Times New Roman;Times;serif" w:hAnsi="Times New Roman;Times;serif"/>
                <w:caps w:val="false"/>
                <w:smallCaps w:val="false"/>
                <w:sz w:val="20"/>
              </w:rPr>
              <w:t>; and </w:t>
            </w:r>
            <w:hyperlink r:id="rId32">
              <w:r>
                <w:rPr>
                  <w:rStyle w:val="InternetLink"/>
                  <w:rFonts w:ascii="Times New Roman;Times;serif" w:hAnsi="Times New Roman;Times;serif"/>
                  <w:caps w:val="false"/>
                  <w:smallCaps w:val="false"/>
                  <w:sz w:val="20"/>
                  <w:u w:val="single"/>
                </w:rPr>
                <w:t>November 26, 2025</w:t>
              </w:r>
            </w:hyperlink>
            <w:r>
              <w:rPr>
                <w:rFonts w:ascii="Times New Roman;Times;serif" w:hAnsi="Times New Roman;Times;serif"/>
                <w:caps w:val="false"/>
                <w:smallCaps w:val="false"/>
                <w:sz w:val="20"/>
              </w:rPr>
              <w:t>;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description of our common stock contained in or incorporated into our </w:t>
            </w:r>
            <w:hyperlink r:id="rId33">
              <w:r>
                <w:rPr>
                  <w:rStyle w:val="InternetLink"/>
                  <w:rFonts w:ascii="Times New Roman;Times;serif" w:hAnsi="Times New Roman;Times;serif"/>
                  <w:caps w:val="false"/>
                  <w:smallCaps w:val="false"/>
                  <w:sz w:val="20"/>
                  <w:u w:val="single"/>
                </w:rPr>
                <w:t>Registration Statement on Form 8-A, filed with the SEC on November 20, 2017</w:t>
              </w:r>
            </w:hyperlink>
            <w:r>
              <w:rPr>
                <w:rFonts w:ascii="Times New Roman;Times;serif" w:hAnsi="Times New Roman;Times;serif"/>
                <w:caps w:val="false"/>
                <w:smallCaps w:val="false"/>
                <w:sz w:val="20"/>
              </w:rPr>
              <w:t>, and any amendment or report updating that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incorporate by reference all documents we file pursuant to Section 13(a), 13(c), 14 or 15 of the Exchange Act (other than any portions of filings that are furnished rather than filed pursuant to Items 2.02 and 7.01 of a Current Report on Form 8-K) after the date of the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herein by reference and are an important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provide upon request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NRx Pharmaceuticals, Inc.</w:t>
        <w:br/>
        <w:t>Michael Abrams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br/>
        <w:t>1201 North Market Street, Suite 111</w:t>
        <w:br/>
        <w:t>Wilmington, Delaware 19801</w:t>
        <w:br/>
        <w:t>(484) 254-6134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t> </w:t>
      </w:r>
    </w:p>
    <w:p>
      <w:pPr>
        <w:pStyle w:val="TextBody"/>
        <w:bidi w:val="0"/>
        <w:jc w:val="center"/>
        <w:rPr/>
      </w:pPr>
      <w:r>
        <w:rPr/>
        <w:drawing>
          <wp:inline distT="0" distB="0" distL="0" distR="0">
            <wp:extent cx="657225" cy="581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4"/>
                    <a:stretch>
                      <a:fillRect/>
                    </a:stretch>
                  </pic:blipFill>
                  <pic:spPr bwMode="auto">
                    <a:xfrm>
                      <a:off x="0" y="0"/>
                      <a:ext cx="657225" cy="581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Lead Bookrunning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BTIG</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Joint Bookrunning Manager</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4"/>
        </w:rPr>
      </w:pPr>
      <w:r>
        <w:rPr>
          <w:rFonts w:ascii="Times New Roman" w:hAnsi="Times New Roman"/>
          <w:b/>
          <w:caps w:val="false"/>
          <w:smallCaps w:val="false"/>
          <w:sz w:val="24"/>
        </w:rPr>
        <w:t>Lucid Capital Markets</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719406/000143774926009418/nrxp20251231_10k.htm" TargetMode="External"/><Relationship Id="rId4" Type="http://schemas.openxmlformats.org/officeDocument/2006/relationships/hyperlink" Target="http://www.sec.gov/Archives/edgar/data/1719406/000143774926017397/nrxp20260331_10q.htm" TargetMode="External"/><Relationship Id="rId5" Type="http://schemas.openxmlformats.org/officeDocument/2006/relationships/hyperlink" Target="http://www.sec.gov/Archives/edgar/data/1719406/000143774926001455/nrxp20260115_8k.htm" TargetMode="External"/><Relationship Id="rId6" Type="http://schemas.openxmlformats.org/officeDocument/2006/relationships/hyperlink" Target="http://www.sec.gov/Archives/edgar/data/1719406/000143774926002682/nrxp20260202_8k.htm" TargetMode="External"/><Relationship Id="rId7" Type="http://schemas.openxmlformats.org/officeDocument/2006/relationships/hyperlink" Target="http://www.sec.gov/Archives/edgar/data/1719406/000143774926004246/nrxp20260216c_8k.htm" TargetMode="External"/><Relationship Id="rId8" Type="http://schemas.openxmlformats.org/officeDocument/2006/relationships/hyperlink" Target="http://www.sec.gov/Archives/edgar/data/1719406/000143774926004245/nrxp20260216_8k.htm" TargetMode="External"/><Relationship Id="rId9" Type="http://schemas.openxmlformats.org/officeDocument/2006/relationships/hyperlink" Target="http://www.sec.gov/Archives/edgar/data/1719406/000143774926009611/nrxp20260324_8k.htm" TargetMode="External"/><Relationship Id="rId10" Type="http://schemas.openxmlformats.org/officeDocument/2006/relationships/hyperlink" Target="http://www.sec.gov/Archives/edgar/data/1719406/000165495417010890/brpa_8a12b.htm" TargetMode="External"/><Relationship Id="rId11" Type="http://schemas.openxmlformats.org/officeDocument/2006/relationships/image" Target="media/image2.jpeg"/><Relationship Id="rId12" Type="http://schemas.openxmlformats.org/officeDocument/2006/relationships/hyperlink" Target="http://www.sec.gov/Archives/edgar/data/1719406/000143774925007743/nrxp20241231c_10k.htm" TargetMode="External"/><Relationship Id="rId13" Type="http://schemas.openxmlformats.org/officeDocument/2006/relationships/hyperlink" Target="http://www.sec.gov/Archives/edgar/data/1719406/000143774925013874/nrxp20241231_10ka.htm" TargetMode="External"/><Relationship Id="rId14" Type="http://schemas.openxmlformats.org/officeDocument/2006/relationships/hyperlink" Target="http://www.sec.gov/Archives/edgar/data/1719406/000143774925017252/nrxp20250331c_10q.htm" TargetMode="External"/><Relationship Id="rId15" Type="http://schemas.openxmlformats.org/officeDocument/2006/relationships/hyperlink" Target="http://www.sec.gov/Archives/edgar/data/1719406/000143774925027167/nrxp20250630_10q.htm" TargetMode="External"/><Relationship Id="rId16" Type="http://schemas.openxmlformats.org/officeDocument/2006/relationships/hyperlink" Target="http://www.sec.gov/Archives/edgar/data/1719406/000143774925035210/nrxp20250930c_10q.htm" TargetMode="External"/><Relationship Id="rId17" Type="http://schemas.openxmlformats.org/officeDocument/2006/relationships/hyperlink" Target="http://www.sec.gov/Archives/edgar/data/1719406/000143774925000801/nrxp20250109_8k.htm" TargetMode="External"/><Relationship Id="rId18" Type="http://schemas.openxmlformats.org/officeDocument/2006/relationships/hyperlink" Target="http://www.sec.gov/Archives/edgar/data/1719406/000143774925001113/nrxp20250114_8k.htm" TargetMode="External"/><Relationship Id="rId19" Type="http://schemas.openxmlformats.org/officeDocument/2006/relationships/hyperlink" Target="http://www.sec.gov/Archives/edgar/data/1719406/000143774925001569/nrxp20250122_8k.htm" TargetMode="External"/><Relationship Id="rId20" Type="http://schemas.openxmlformats.org/officeDocument/2006/relationships/hyperlink" Target="http://www.sec.gov/Archives/edgar/data/1719406/000143774925002160/nrxp20250128_8k.htm" TargetMode="External"/><Relationship Id="rId21" Type="http://schemas.openxmlformats.org/officeDocument/2006/relationships/hyperlink" Target="http://www.sec.gov/Archives/edgar/data/1719406/000143774925002610/nrxp20250203_8k.htm" TargetMode="External"/><Relationship Id="rId22" Type="http://schemas.openxmlformats.org/officeDocument/2006/relationships/hyperlink" Target="http://www.sec.gov/Archives/edgar/data/1719406/000143774925012303/nrxp20250417_8k.htm" TargetMode="External"/><Relationship Id="rId23" Type="http://schemas.openxmlformats.org/officeDocument/2006/relationships/hyperlink" Target="http://www.sec.gov/Archives/edgar/data/1719406/000143774925016272/nrxp20250513_8k.htm" TargetMode="External"/><Relationship Id="rId24" Type="http://schemas.openxmlformats.org/officeDocument/2006/relationships/hyperlink" Target="http://www.sec.gov/Archives/edgar/data/1719406/000143774925019803/nrxp20250607_8k.htm" TargetMode="External"/><Relationship Id="rId25" Type="http://schemas.openxmlformats.org/officeDocument/2006/relationships/hyperlink" Target="http://www.sec.gov/Archives/edgar/data/1719406/000143774925027059/nrxp20250814_8k.htm" TargetMode="External"/><Relationship Id="rId26" Type="http://schemas.openxmlformats.org/officeDocument/2006/relationships/hyperlink" Target="http://www.sec.gov/Archives/edgar/data/1719406/000143774925027256/nrxp20250818_8k.htm" TargetMode="External"/><Relationship Id="rId27" Type="http://schemas.openxmlformats.org/officeDocument/2006/relationships/hyperlink" Target="http://www.sec.gov/Archives/edgar/data/1719406/000143774925028567/nrxp20250908_8k.htm" TargetMode="External"/><Relationship Id="rId28" Type="http://schemas.openxmlformats.org/officeDocument/2006/relationships/hyperlink" Target="http://www.sec.gov/Archives/edgar/data/1719406/000143774925028949/nrxp20250912_8k.htm" TargetMode="External"/><Relationship Id="rId29" Type="http://schemas.openxmlformats.org/officeDocument/2006/relationships/hyperlink" Target="http://www.sec.gov/Archives/edgar/data/1719406/000143774925029907/nrxp20250926_8k.htm" TargetMode="External"/><Relationship Id="rId30" Type="http://schemas.openxmlformats.org/officeDocument/2006/relationships/hyperlink" Target="http://www.sec.gov/Archives/edgar/data/1719406/000143774925031637/nrxp20251023_8k.htm" TargetMode="External"/><Relationship Id="rId31" Type="http://schemas.openxmlformats.org/officeDocument/2006/relationships/hyperlink" Target="http://www.sec.gov/Archives/edgar/data/1719406/000143774925036005/nrxp20251118_8ka.htm" TargetMode="External"/><Relationship Id="rId32" Type="http://schemas.openxmlformats.org/officeDocument/2006/relationships/hyperlink" Target="http://www.sec.gov/Archives/edgar/data/1719406/000143774925036452/nrxp20251125_8k.htm" TargetMode="External"/><Relationship Id="rId33" Type="http://schemas.openxmlformats.org/officeDocument/2006/relationships/hyperlink" Target="http://www.sec.gov/Archives/edgar/data/1719406/000165495417010890/brpa_8a12b.htm" TargetMode="External"/><Relationship Id="rId34" Type="http://schemas.openxmlformats.org/officeDocument/2006/relationships/image" Target="media/image1.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29300</Words>
  <Characters>154134</Characters>
  <CharactersWithSpaces>183769</CharactersWithSpaces>
  <Paragraphs>2075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